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717"/>
        <w:jc w:val="center"/>
        <w:rPr>
          <w:rFonts w:ascii="Times New Roman" w:hAnsi="Times New Roman"/>
          <w:w w:val="80"/>
          <w:sz w:val="44"/>
          <w:szCs w:val="44"/>
        </w:rPr>
      </w:pPr>
    </w:p>
    <w:p>
      <w:pPr>
        <w:ind w:firstLine="717"/>
        <w:jc w:val="center"/>
        <w:rPr>
          <w:rFonts w:ascii="Times New Roman" w:hAnsi="Times New Roman"/>
          <w:w w:val="80"/>
          <w:sz w:val="44"/>
          <w:szCs w:val="44"/>
        </w:rPr>
      </w:pPr>
    </w:p>
    <w:p>
      <w:pPr>
        <w:ind w:firstLine="717"/>
        <w:jc w:val="center"/>
        <w:rPr>
          <w:rFonts w:ascii="Times New Roman" w:hAnsi="Times New Roman"/>
          <w:w w:val="80"/>
          <w:sz w:val="44"/>
          <w:szCs w:val="44"/>
        </w:rPr>
      </w:pPr>
    </w:p>
    <w:p>
      <w:pPr>
        <w:ind w:firstLine="717"/>
        <w:jc w:val="center"/>
        <w:rPr>
          <w:rFonts w:ascii="Times New Roman" w:hAnsi="Times New Roman"/>
          <w:w w:val="80"/>
          <w:sz w:val="44"/>
          <w:szCs w:val="44"/>
        </w:rPr>
      </w:pPr>
    </w:p>
    <w:p>
      <w:pPr>
        <w:adjustRightInd w:val="0"/>
        <w:snapToGrid w:val="0"/>
        <w:spacing w:line="360" w:lineRule="auto"/>
        <w:jc w:val="center"/>
        <w:rPr>
          <w:rFonts w:ascii="Times New Roman" w:hAnsi="Times New Roman"/>
          <w:b/>
          <w:sz w:val="52"/>
          <w:szCs w:val="52"/>
        </w:rPr>
      </w:pPr>
      <w:r>
        <w:rPr>
          <w:rFonts w:ascii="Times New Roman" w:hAnsi="Times New Roman"/>
          <w:b/>
          <w:sz w:val="52"/>
          <w:szCs w:val="52"/>
        </w:rPr>
        <w:t>五台县安顺源石料有限公司</w:t>
      </w:r>
    </w:p>
    <w:p>
      <w:pPr>
        <w:adjustRightInd w:val="0"/>
        <w:snapToGrid w:val="0"/>
        <w:spacing w:line="360" w:lineRule="auto"/>
        <w:jc w:val="center"/>
        <w:rPr>
          <w:rFonts w:ascii="Times New Roman" w:hAnsi="Times New Roman"/>
          <w:b/>
          <w:sz w:val="52"/>
          <w:szCs w:val="52"/>
        </w:rPr>
      </w:pPr>
      <w:r>
        <w:rPr>
          <w:rFonts w:hint="eastAsia" w:ascii="Times New Roman" w:hAnsi="Times New Roman"/>
          <w:b/>
          <w:sz w:val="52"/>
          <w:szCs w:val="52"/>
          <w:lang w:eastAsia="zh-CN"/>
        </w:rPr>
        <w:t>矿山</w:t>
      </w:r>
      <w:r>
        <w:rPr>
          <w:rFonts w:ascii="Times New Roman" w:hAnsi="Times New Roman"/>
          <w:b/>
          <w:sz w:val="52"/>
          <w:szCs w:val="52"/>
        </w:rPr>
        <w:t>生态环境保护与恢复治理方案</w:t>
      </w:r>
    </w:p>
    <w:p>
      <w:pPr>
        <w:adjustRightInd w:val="0"/>
        <w:snapToGrid w:val="0"/>
        <w:spacing w:line="360" w:lineRule="auto"/>
        <w:jc w:val="center"/>
        <w:rPr>
          <w:rFonts w:ascii="Times New Roman" w:hAnsi="Times New Roman"/>
          <w:b/>
          <w:w w:val="80"/>
          <w:sz w:val="44"/>
          <w:szCs w:val="44"/>
        </w:rPr>
      </w:pPr>
    </w:p>
    <w:p>
      <w:pPr>
        <w:spacing w:beforeLines="150" w:line="480" w:lineRule="auto"/>
        <w:ind w:firstLine="1056"/>
        <w:jc w:val="center"/>
        <w:rPr>
          <w:rFonts w:ascii="Times New Roman" w:hAnsi="Times New Roman" w:eastAsia="华文新魏"/>
          <w:sz w:val="52"/>
          <w:szCs w:val="52"/>
        </w:rPr>
      </w:pPr>
    </w:p>
    <w:p>
      <w:pPr>
        <w:spacing w:beforeLines="150" w:line="480" w:lineRule="auto"/>
        <w:ind w:firstLine="1457"/>
        <w:jc w:val="center"/>
        <w:rPr>
          <w:rFonts w:ascii="Times New Roman" w:hAnsi="Times New Roman" w:eastAsiaTheme="minorEastAsia"/>
          <w:b/>
          <w:sz w:val="72"/>
          <w:szCs w:val="84"/>
        </w:rPr>
      </w:pPr>
    </w:p>
    <w:p>
      <w:pPr>
        <w:pStyle w:val="2"/>
        <w:rPr>
          <w:rFonts w:ascii="Times New Roman" w:hAnsi="Times New Roman" w:cs="Times New Roman"/>
        </w:rPr>
      </w:pPr>
    </w:p>
    <w:p>
      <w:pPr>
        <w:spacing w:beforeLines="150" w:line="480" w:lineRule="auto"/>
        <w:ind w:firstLine="1457"/>
        <w:jc w:val="center"/>
        <w:rPr>
          <w:rFonts w:ascii="Times New Roman" w:hAnsi="Times New Roman" w:eastAsiaTheme="minorEastAsia"/>
          <w:b/>
          <w:sz w:val="72"/>
          <w:szCs w:val="84"/>
        </w:rPr>
      </w:pPr>
    </w:p>
    <w:p>
      <w:pPr>
        <w:pStyle w:val="2"/>
        <w:rPr>
          <w:rFonts w:ascii="Times New Roman" w:hAnsi="Times New Roman" w:cs="Times New Roman"/>
        </w:rPr>
      </w:pPr>
    </w:p>
    <w:p>
      <w:pPr>
        <w:pStyle w:val="2"/>
        <w:rPr>
          <w:rFonts w:ascii="Times New Roman" w:hAnsi="Times New Roman" w:cs="Times New Roman"/>
        </w:rPr>
      </w:pPr>
    </w:p>
    <w:p>
      <w:pPr>
        <w:pStyle w:val="2"/>
        <w:rPr>
          <w:rFonts w:ascii="Times New Roman" w:hAnsi="Times New Roman" w:cs="Times New Roman"/>
        </w:rPr>
      </w:pPr>
    </w:p>
    <w:p>
      <w:pPr>
        <w:spacing w:before="100" w:beforeAutospacing="1"/>
        <w:jc w:val="center"/>
        <w:rPr>
          <w:rFonts w:ascii="Times New Roman" w:hAnsi="Times New Roman"/>
          <w:b/>
          <w:spacing w:val="20"/>
          <w:sz w:val="32"/>
          <w:szCs w:val="32"/>
        </w:rPr>
      </w:pPr>
      <w:r>
        <w:rPr>
          <w:rFonts w:ascii="Times New Roman" w:hAnsi="Times New Roman"/>
          <w:b/>
          <w:spacing w:val="20"/>
          <w:sz w:val="32"/>
          <w:szCs w:val="32"/>
        </w:rPr>
        <w:t>五台县安顺源石料有限公司</w:t>
      </w:r>
    </w:p>
    <w:p>
      <w:pPr>
        <w:spacing w:before="100" w:beforeAutospacing="1"/>
        <w:jc w:val="center"/>
        <w:rPr>
          <w:rFonts w:ascii="Times New Roman" w:hAnsi="Times New Roman"/>
          <w:b/>
          <w:bCs/>
          <w:sz w:val="32"/>
          <w:szCs w:val="32"/>
        </w:rPr>
        <w:sectPr>
          <w:footerReference r:id="rId5" w:type="default"/>
          <w:pgSz w:w="11906" w:h="16838"/>
          <w:pgMar w:top="1417" w:right="1417" w:bottom="1417" w:left="1417" w:header="851" w:footer="992" w:gutter="0"/>
          <w:cols w:space="425" w:num="1"/>
          <w:docGrid w:type="lines" w:linePitch="326" w:charSpace="0"/>
        </w:sectPr>
      </w:pPr>
      <w:r>
        <w:rPr>
          <w:rFonts w:ascii="Times New Roman" w:hAnsi="Times New Roman"/>
          <w:b/>
          <w:bCs/>
          <w:sz w:val="32"/>
          <w:szCs w:val="32"/>
        </w:rPr>
        <w:t>二〇二一年四月</w:t>
      </w:r>
    </w:p>
    <w:p>
      <w:pPr>
        <w:pStyle w:val="2"/>
        <w:sectPr>
          <w:pgSz w:w="11906" w:h="16838"/>
          <w:pgMar w:top="1417" w:right="1417" w:bottom="1417" w:left="1417" w:header="851" w:footer="992" w:gutter="0"/>
          <w:cols w:space="425" w:num="1"/>
          <w:docGrid w:type="lines" w:linePitch="326" w:charSpace="0"/>
        </w:sectPr>
      </w:pPr>
    </w:p>
    <w:p>
      <w:pPr>
        <w:pStyle w:val="2"/>
      </w:pPr>
    </w:p>
    <w:p>
      <w:pPr>
        <w:pStyle w:val="2"/>
      </w:pPr>
    </w:p>
    <w:p>
      <w:pPr>
        <w:adjustRightInd w:val="0"/>
        <w:snapToGrid w:val="0"/>
        <w:spacing w:line="360" w:lineRule="auto"/>
        <w:jc w:val="center"/>
        <w:rPr>
          <w:rFonts w:ascii="Times New Roman" w:hAnsi="Times New Roman"/>
          <w:b/>
          <w:sz w:val="52"/>
          <w:szCs w:val="52"/>
        </w:rPr>
      </w:pPr>
    </w:p>
    <w:p>
      <w:pPr>
        <w:adjustRightInd w:val="0"/>
        <w:snapToGrid w:val="0"/>
        <w:spacing w:line="360" w:lineRule="auto"/>
        <w:jc w:val="center"/>
        <w:rPr>
          <w:rFonts w:ascii="Times New Roman" w:hAnsi="Times New Roman"/>
          <w:b/>
          <w:sz w:val="52"/>
          <w:szCs w:val="52"/>
        </w:rPr>
      </w:pPr>
      <w:r>
        <w:rPr>
          <w:rFonts w:ascii="Times New Roman" w:hAnsi="Times New Roman"/>
          <w:b/>
          <w:sz w:val="52"/>
          <w:szCs w:val="52"/>
        </w:rPr>
        <w:t>五台县安顺源石料有限公司</w:t>
      </w:r>
    </w:p>
    <w:p>
      <w:pPr>
        <w:adjustRightInd w:val="0"/>
        <w:snapToGrid w:val="0"/>
        <w:spacing w:line="360" w:lineRule="auto"/>
        <w:jc w:val="center"/>
        <w:rPr>
          <w:rFonts w:ascii="Times New Roman" w:hAnsi="Times New Roman"/>
          <w:b/>
          <w:sz w:val="52"/>
          <w:szCs w:val="52"/>
        </w:rPr>
      </w:pPr>
      <w:r>
        <w:rPr>
          <w:rFonts w:hint="eastAsia" w:ascii="Times New Roman" w:hAnsi="Times New Roman"/>
          <w:b/>
          <w:sz w:val="52"/>
          <w:szCs w:val="52"/>
          <w:lang w:eastAsia="zh-CN"/>
        </w:rPr>
        <w:t>矿山</w:t>
      </w:r>
      <w:bookmarkStart w:id="364" w:name="_GoBack"/>
      <w:bookmarkEnd w:id="364"/>
      <w:r>
        <w:rPr>
          <w:rFonts w:ascii="Times New Roman" w:hAnsi="Times New Roman"/>
          <w:b/>
          <w:sz w:val="52"/>
          <w:szCs w:val="52"/>
        </w:rPr>
        <w:t>生态环境保护与恢复治理方案</w:t>
      </w:r>
    </w:p>
    <w:p>
      <w:pPr>
        <w:pStyle w:val="2"/>
      </w:pPr>
    </w:p>
    <w:p>
      <w:pPr>
        <w:pStyle w:val="2"/>
        <w:jc w:val="center"/>
      </w:pPr>
    </w:p>
    <w:p>
      <w:pPr>
        <w:pStyle w:val="2"/>
        <w:jc w:val="center"/>
      </w:pPr>
    </w:p>
    <w:p>
      <w:pPr>
        <w:pStyle w:val="2"/>
        <w:jc w:val="center"/>
      </w:pPr>
    </w:p>
    <w:p>
      <w:pPr>
        <w:adjustRightInd w:val="0"/>
        <w:snapToGrid w:val="0"/>
        <w:spacing w:line="360" w:lineRule="auto"/>
        <w:ind w:firstLine="888" w:firstLineChars="295"/>
        <w:rPr>
          <w:bCs/>
          <w:sz w:val="30"/>
          <w:szCs w:val="30"/>
        </w:rPr>
      </w:pPr>
      <w:r>
        <w:rPr>
          <w:b/>
          <w:sz w:val="30"/>
          <w:szCs w:val="30"/>
        </w:rPr>
        <w:t xml:space="preserve">申 报 单 位： </w:t>
      </w:r>
      <w:r>
        <w:rPr>
          <w:bCs/>
          <w:sz w:val="30"/>
          <w:szCs w:val="30"/>
        </w:rPr>
        <w:t>五台县安顺源石料有限公司</w:t>
      </w:r>
    </w:p>
    <w:p>
      <w:pPr>
        <w:adjustRightInd w:val="0"/>
        <w:snapToGrid w:val="0"/>
        <w:spacing w:line="360" w:lineRule="auto"/>
        <w:ind w:firstLine="888" w:firstLineChars="295"/>
        <w:rPr>
          <w:b/>
          <w:sz w:val="30"/>
          <w:szCs w:val="30"/>
        </w:rPr>
      </w:pPr>
      <w:r>
        <w:rPr>
          <w:b/>
          <w:sz w:val="30"/>
          <w:szCs w:val="30"/>
        </w:rPr>
        <w:t xml:space="preserve">法 人 代 表： </w:t>
      </w:r>
      <w:r>
        <w:rPr>
          <w:bCs/>
          <w:sz w:val="30"/>
          <w:szCs w:val="30"/>
        </w:rPr>
        <w:t>刘春槐</w:t>
      </w:r>
    </w:p>
    <w:p>
      <w:pPr>
        <w:adjustRightInd w:val="0"/>
        <w:snapToGrid w:val="0"/>
        <w:spacing w:line="360" w:lineRule="auto"/>
        <w:ind w:firstLine="878" w:firstLineChars="336"/>
        <w:rPr>
          <w:b/>
          <w:spacing w:val="-20"/>
          <w:sz w:val="30"/>
          <w:szCs w:val="30"/>
        </w:rPr>
      </w:pPr>
      <w:r>
        <w:rPr>
          <w:b/>
          <w:spacing w:val="-20"/>
          <w:sz w:val="30"/>
          <w:szCs w:val="30"/>
        </w:rPr>
        <w:t>单位技术负责人</w:t>
      </w:r>
      <w:r>
        <w:rPr>
          <w:bCs/>
          <w:spacing w:val="-20"/>
          <w:sz w:val="30"/>
          <w:szCs w:val="30"/>
        </w:rPr>
        <w:t xml:space="preserve">： </w:t>
      </w:r>
      <w:r>
        <w:rPr>
          <w:bCs/>
          <w:sz w:val="30"/>
          <w:szCs w:val="30"/>
        </w:rPr>
        <w:t>刘爱忠</w:t>
      </w:r>
    </w:p>
    <w:p>
      <w:pPr>
        <w:adjustRightInd w:val="0"/>
        <w:snapToGrid w:val="0"/>
        <w:spacing w:line="360" w:lineRule="auto"/>
        <w:ind w:firstLine="1033" w:firstLineChars="343"/>
        <w:rPr>
          <w:b/>
          <w:sz w:val="30"/>
          <w:szCs w:val="30"/>
        </w:rPr>
      </w:pPr>
    </w:p>
    <w:p>
      <w:pPr>
        <w:adjustRightInd w:val="0"/>
        <w:snapToGrid w:val="0"/>
        <w:spacing w:line="360" w:lineRule="auto"/>
        <w:ind w:firstLine="888" w:firstLineChars="295"/>
        <w:rPr>
          <w:bCs/>
          <w:sz w:val="30"/>
          <w:szCs w:val="30"/>
        </w:rPr>
      </w:pPr>
      <w:r>
        <w:rPr>
          <w:rFonts w:hint="eastAsia"/>
          <w:b/>
          <w:sz w:val="30"/>
          <w:szCs w:val="30"/>
        </w:rPr>
        <w:t xml:space="preserve">编 制 </w:t>
      </w:r>
      <w:r>
        <w:rPr>
          <w:b/>
          <w:sz w:val="30"/>
          <w:szCs w:val="30"/>
        </w:rPr>
        <w:t>单 位</w:t>
      </w:r>
      <w:r>
        <w:rPr>
          <w:bCs/>
          <w:sz w:val="30"/>
          <w:szCs w:val="30"/>
        </w:rPr>
        <w:t>：山西昊迪地质勘查技术服务有限责任公司</w:t>
      </w:r>
    </w:p>
    <w:p>
      <w:pPr>
        <w:adjustRightInd w:val="0"/>
        <w:snapToGrid w:val="0"/>
        <w:spacing w:line="360" w:lineRule="auto"/>
        <w:ind w:firstLine="909" w:firstLineChars="348"/>
        <w:rPr>
          <w:bCs/>
          <w:sz w:val="30"/>
          <w:szCs w:val="30"/>
        </w:rPr>
      </w:pPr>
      <w:r>
        <w:rPr>
          <w:b/>
          <w:snapToGrid w:val="0"/>
          <w:spacing w:val="-20"/>
          <w:kern w:val="0"/>
          <w:sz w:val="30"/>
          <w:szCs w:val="30"/>
        </w:rPr>
        <w:t xml:space="preserve">单 位 负 责 人： </w:t>
      </w:r>
      <w:r>
        <w:rPr>
          <w:rFonts w:hint="eastAsia"/>
          <w:bCs/>
          <w:sz w:val="30"/>
          <w:szCs w:val="30"/>
        </w:rPr>
        <w:t>郝金玉</w:t>
      </w:r>
    </w:p>
    <w:p>
      <w:pPr>
        <w:adjustRightInd w:val="0"/>
        <w:snapToGrid w:val="0"/>
        <w:spacing w:line="360" w:lineRule="auto"/>
        <w:ind w:firstLine="888" w:firstLineChars="295"/>
        <w:rPr>
          <w:b/>
          <w:sz w:val="30"/>
          <w:szCs w:val="30"/>
        </w:rPr>
      </w:pPr>
      <w:r>
        <w:rPr>
          <w:b/>
          <w:sz w:val="30"/>
          <w:szCs w:val="30"/>
        </w:rPr>
        <w:t xml:space="preserve">总 工 程 师： </w:t>
      </w:r>
      <w:r>
        <w:rPr>
          <w:rFonts w:hint="eastAsia"/>
          <w:bCs/>
          <w:sz w:val="30"/>
          <w:szCs w:val="30"/>
        </w:rPr>
        <w:t>张金良</w:t>
      </w:r>
    </w:p>
    <w:p>
      <w:pPr>
        <w:adjustRightInd w:val="0"/>
        <w:snapToGrid w:val="0"/>
        <w:spacing w:line="360" w:lineRule="auto"/>
        <w:ind w:firstLine="883" w:firstLineChars="338"/>
        <w:rPr>
          <w:bCs/>
          <w:sz w:val="30"/>
          <w:szCs w:val="30"/>
        </w:rPr>
      </w:pPr>
      <w:r>
        <w:rPr>
          <w:b/>
          <w:snapToGrid w:val="0"/>
          <w:spacing w:val="-20"/>
          <w:kern w:val="0"/>
          <w:sz w:val="30"/>
          <w:szCs w:val="30"/>
        </w:rPr>
        <w:t xml:space="preserve">报 告 编 写 人： </w:t>
      </w:r>
      <w:r>
        <w:rPr>
          <w:bCs/>
          <w:sz w:val="30"/>
          <w:szCs w:val="30"/>
        </w:rPr>
        <w:t xml:space="preserve">郝金玉  翟要登  程永吉  </w:t>
      </w:r>
      <w:r>
        <w:rPr>
          <w:rFonts w:hint="eastAsia"/>
          <w:bCs/>
          <w:sz w:val="30"/>
          <w:szCs w:val="30"/>
        </w:rPr>
        <w:t>孙鑫</w:t>
      </w:r>
    </w:p>
    <w:p>
      <w:pPr>
        <w:adjustRightInd w:val="0"/>
        <w:snapToGrid w:val="0"/>
        <w:spacing w:line="360" w:lineRule="auto"/>
        <w:ind w:firstLine="2964" w:firstLineChars="988"/>
        <w:rPr>
          <w:bCs/>
          <w:sz w:val="30"/>
          <w:szCs w:val="30"/>
        </w:rPr>
      </w:pPr>
      <w:r>
        <w:rPr>
          <w:bCs/>
          <w:sz w:val="30"/>
          <w:szCs w:val="30"/>
        </w:rPr>
        <w:t xml:space="preserve">刘竹丁  赵宁红  范晋光  </w:t>
      </w:r>
    </w:p>
    <w:p>
      <w:pPr>
        <w:adjustRightInd w:val="0"/>
        <w:snapToGrid w:val="0"/>
        <w:spacing w:line="360" w:lineRule="auto"/>
        <w:ind w:firstLine="904" w:firstLineChars="300"/>
        <w:rPr>
          <w:b/>
          <w:sz w:val="30"/>
          <w:szCs w:val="30"/>
        </w:rPr>
      </w:pPr>
      <w:r>
        <w:rPr>
          <w:rFonts w:hint="eastAsia"/>
          <w:b/>
          <w:sz w:val="30"/>
          <w:szCs w:val="30"/>
        </w:rPr>
        <w:t xml:space="preserve">报告审核人 ： </w:t>
      </w:r>
      <w:r>
        <w:rPr>
          <w:rFonts w:hint="eastAsia"/>
          <w:bCs/>
          <w:sz w:val="30"/>
          <w:szCs w:val="30"/>
        </w:rPr>
        <w:t>张金良</w:t>
      </w:r>
    </w:p>
    <w:p>
      <w:pPr>
        <w:pStyle w:val="2"/>
        <w:ind w:firstLine="893" w:firstLineChars="278"/>
      </w:pPr>
      <w:r>
        <w:rPr>
          <w:b/>
          <w:sz w:val="30"/>
          <w:szCs w:val="30"/>
        </w:rPr>
        <w:t>报告编制日期</w:t>
      </w:r>
      <w:r>
        <w:rPr>
          <w:bCs/>
          <w:sz w:val="30"/>
          <w:szCs w:val="30"/>
        </w:rPr>
        <w:t>：202</w:t>
      </w:r>
      <w:r>
        <w:rPr>
          <w:rFonts w:hint="eastAsia"/>
          <w:bCs/>
          <w:sz w:val="30"/>
          <w:szCs w:val="30"/>
        </w:rPr>
        <w:t>1</w:t>
      </w:r>
      <w:r>
        <w:rPr>
          <w:bCs/>
          <w:sz w:val="30"/>
          <w:szCs w:val="30"/>
        </w:rPr>
        <w:t>年</w:t>
      </w:r>
      <w:r>
        <w:rPr>
          <w:rFonts w:hint="eastAsia"/>
          <w:bCs/>
          <w:sz w:val="30"/>
          <w:szCs w:val="30"/>
        </w:rPr>
        <w:t>4</w:t>
      </w:r>
      <w:r>
        <w:rPr>
          <w:bCs/>
          <w:sz w:val="30"/>
          <w:szCs w:val="30"/>
        </w:rPr>
        <w:t>月</w:t>
      </w:r>
    </w:p>
    <w:p>
      <w:pPr>
        <w:pStyle w:val="2"/>
        <w:sectPr>
          <w:pgSz w:w="11906" w:h="16838"/>
          <w:pgMar w:top="1417" w:right="1417" w:bottom="1417" w:left="1417" w:header="851" w:footer="992" w:gutter="0"/>
          <w:cols w:space="425" w:num="1"/>
          <w:docGrid w:type="lines" w:linePitch="326" w:charSpace="0"/>
        </w:sectPr>
      </w:pPr>
    </w:p>
    <w:p>
      <w:pPr>
        <w:pStyle w:val="2"/>
        <w:ind w:firstLine="0"/>
        <w:sectPr>
          <w:pgSz w:w="11906" w:h="16838"/>
          <w:pgMar w:top="1417" w:right="1417" w:bottom="1417" w:left="1417" w:header="851" w:footer="992" w:gutter="0"/>
          <w:cols w:space="425" w:num="1"/>
          <w:docGrid w:type="lines" w:linePitch="326" w:charSpace="0"/>
        </w:sectPr>
      </w:pPr>
    </w:p>
    <w:p>
      <w:pPr>
        <w:jc w:val="center"/>
        <w:rPr>
          <w:b/>
          <w:sz w:val="32"/>
          <w:szCs w:val="32"/>
        </w:rPr>
      </w:pPr>
      <w:r>
        <w:rPr>
          <w:b/>
          <w:sz w:val="32"/>
          <w:szCs w:val="32"/>
        </w:rPr>
        <w:t>修改说明</w:t>
      </w:r>
    </w:p>
    <w:tbl>
      <w:tblPr>
        <w:tblStyle w:val="22"/>
        <w:tblW w:w="147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78"/>
        <w:gridCol w:w="7230"/>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pPr>
              <w:snapToGrid w:val="0"/>
              <w:jc w:val="center"/>
              <w:rPr>
                <w:sz w:val="28"/>
                <w:szCs w:val="28"/>
              </w:rPr>
            </w:pPr>
            <w:r>
              <w:rPr>
                <w:rFonts w:hint="eastAsia"/>
                <w:sz w:val="28"/>
                <w:szCs w:val="28"/>
              </w:rPr>
              <w:t>专家修改意见</w:t>
            </w:r>
          </w:p>
        </w:tc>
        <w:tc>
          <w:tcPr>
            <w:tcW w:w="7230" w:type="dxa"/>
            <w:tcBorders>
              <w:right w:val="single" w:color="auto" w:sz="4" w:space="0"/>
            </w:tcBorders>
          </w:tcPr>
          <w:p>
            <w:pPr>
              <w:snapToGrid w:val="0"/>
              <w:jc w:val="center"/>
              <w:rPr>
                <w:sz w:val="28"/>
                <w:szCs w:val="28"/>
              </w:rPr>
            </w:pPr>
            <w:r>
              <w:rPr>
                <w:rFonts w:hint="eastAsia"/>
                <w:sz w:val="28"/>
                <w:szCs w:val="28"/>
              </w:rPr>
              <w:t>修改说明</w:t>
            </w:r>
          </w:p>
        </w:tc>
        <w:tc>
          <w:tcPr>
            <w:tcW w:w="1701" w:type="dxa"/>
            <w:tcBorders>
              <w:left w:val="single" w:color="auto" w:sz="4" w:space="0"/>
            </w:tcBorders>
          </w:tcPr>
          <w:p>
            <w:pPr>
              <w:snapToGrid w:val="0"/>
              <w:jc w:val="center"/>
              <w:rPr>
                <w:sz w:val="28"/>
                <w:szCs w:val="28"/>
              </w:rPr>
            </w:pPr>
            <w:r>
              <w:rPr>
                <w:rFonts w:hint="eastAsia"/>
                <w:sz w:val="28"/>
                <w:szCs w:val="28"/>
              </w:rPr>
              <w:t>修改索引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pPr>
              <w:snapToGrid w:val="0"/>
              <w:ind w:left="142"/>
              <w:jc w:val="left"/>
              <w:rPr>
                <w:szCs w:val="24"/>
              </w:rPr>
            </w:pPr>
            <w:r>
              <w:rPr>
                <w:rFonts w:hint="eastAsia"/>
                <w:szCs w:val="24"/>
              </w:rPr>
              <w:t>1、进一步条理任务来由；编制依据需更新水土保持法和技术规范，说明十三五规划的指导意义，投资估算需应用有关行业的定额。</w:t>
            </w:r>
          </w:p>
        </w:tc>
        <w:tc>
          <w:tcPr>
            <w:tcW w:w="7230" w:type="dxa"/>
            <w:tcBorders>
              <w:right w:val="single" w:color="auto" w:sz="4" w:space="0"/>
            </w:tcBorders>
          </w:tcPr>
          <w:p>
            <w:pPr>
              <w:snapToGrid w:val="0"/>
              <w:jc w:val="left"/>
              <w:rPr>
                <w:szCs w:val="24"/>
              </w:rPr>
            </w:pPr>
            <w:r>
              <w:rPr>
                <w:rFonts w:hint="eastAsia"/>
                <w:szCs w:val="24"/>
              </w:rPr>
              <w:t>已将任务由来重新梳理修改；已更新水土保持法（2010年12月29日），</w:t>
            </w:r>
            <w:r>
              <w:rPr>
                <w:szCs w:val="24"/>
              </w:rPr>
              <w:t>《</w:t>
            </w:r>
            <w:r>
              <w:rPr>
                <w:rFonts w:hint="eastAsia"/>
                <w:szCs w:val="24"/>
              </w:rPr>
              <w:t>生产建设项目水土保持技术标准</w:t>
            </w:r>
            <w:r>
              <w:rPr>
                <w:szCs w:val="24"/>
              </w:rPr>
              <w:t>》(GB</w:t>
            </w:r>
            <w:r>
              <w:rPr>
                <w:rFonts w:hint="eastAsia"/>
                <w:szCs w:val="24"/>
              </w:rPr>
              <w:t xml:space="preserve"> 50433-2018</w:t>
            </w:r>
            <w:r>
              <w:rPr>
                <w:szCs w:val="24"/>
              </w:rPr>
              <w:t>)</w:t>
            </w:r>
            <w:r>
              <w:rPr>
                <w:rFonts w:hint="eastAsia"/>
                <w:szCs w:val="24"/>
              </w:rPr>
              <w:t>；相关规划中去掉了“十三五规划”；投资估算已修改为有关行业的定额。</w:t>
            </w:r>
          </w:p>
        </w:tc>
        <w:tc>
          <w:tcPr>
            <w:tcW w:w="1701" w:type="dxa"/>
            <w:tcBorders>
              <w:left w:val="single" w:color="auto" w:sz="4" w:space="0"/>
            </w:tcBorders>
          </w:tcPr>
          <w:p>
            <w:pPr>
              <w:snapToGrid w:val="0"/>
              <w:jc w:val="left"/>
              <w:rPr>
                <w:szCs w:val="24"/>
              </w:rPr>
            </w:pPr>
            <w:r>
              <w:rPr>
                <w:rFonts w:hint="eastAsia"/>
                <w:szCs w:val="24"/>
              </w:rPr>
              <w:t>P1~P4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pPr>
              <w:snapToGrid w:val="0"/>
              <w:ind w:left="142"/>
              <w:rPr>
                <w:szCs w:val="24"/>
              </w:rPr>
            </w:pPr>
            <w:r>
              <w:rPr>
                <w:rFonts w:hint="eastAsia"/>
                <w:szCs w:val="24"/>
              </w:rPr>
              <w:t>2、方案涵盖范围应包括环境保护和生态恢复治理两个方面；明确方案实施起止期限；调整方案编制工作程序；功能区划等图件，应标注项目区位；修正矿区中心地理坐标。</w:t>
            </w:r>
          </w:p>
        </w:tc>
        <w:tc>
          <w:tcPr>
            <w:tcW w:w="7230" w:type="dxa"/>
            <w:tcBorders>
              <w:right w:val="single" w:color="auto" w:sz="4" w:space="0"/>
            </w:tcBorders>
          </w:tcPr>
          <w:p>
            <w:pPr>
              <w:snapToGrid w:val="0"/>
              <w:jc w:val="left"/>
              <w:rPr>
                <w:szCs w:val="24"/>
              </w:rPr>
            </w:pPr>
            <w:r>
              <w:rPr>
                <w:rFonts w:hint="eastAsia"/>
                <w:szCs w:val="24"/>
              </w:rPr>
              <w:t>已修改环境保护范围为</w:t>
            </w:r>
            <w:r>
              <w:rPr>
                <w:szCs w:val="24"/>
              </w:rPr>
              <w:t>25.91hm</w:t>
            </w:r>
            <w:r>
              <w:rPr>
                <w:szCs w:val="24"/>
                <w:vertAlign w:val="superscript"/>
              </w:rPr>
              <w:t>2</w:t>
            </w:r>
            <w:r>
              <w:rPr>
                <w:rFonts w:hint="eastAsia"/>
                <w:szCs w:val="24"/>
              </w:rPr>
              <w:t>，生态恢复治理范围为</w:t>
            </w:r>
            <w:r>
              <w:rPr>
                <w:szCs w:val="24"/>
              </w:rPr>
              <w:t>19.44hm</w:t>
            </w:r>
            <w:r>
              <w:rPr>
                <w:szCs w:val="24"/>
                <w:vertAlign w:val="superscript"/>
              </w:rPr>
              <w:t>2</w:t>
            </w:r>
            <w:r>
              <w:rPr>
                <w:szCs w:val="24"/>
              </w:rPr>
              <w:t>。已明确方案实施期为</w:t>
            </w:r>
            <w:r>
              <w:rPr>
                <w:rFonts w:hint="eastAsia"/>
                <w:szCs w:val="24"/>
              </w:rPr>
              <w:t>“</w:t>
            </w:r>
            <w:r>
              <w:rPr>
                <w:szCs w:val="24"/>
              </w:rPr>
              <w:t>本方案批复之日起至后三年</w:t>
            </w:r>
            <w:r>
              <w:rPr>
                <w:rFonts w:hint="eastAsia"/>
                <w:szCs w:val="24"/>
              </w:rPr>
              <w:t>”。根据实际工作情况调整编制工作程序；功能区划等图件已标注项目区位；已修改矿区</w:t>
            </w:r>
            <w:r>
              <w:rPr>
                <w:szCs w:val="24"/>
              </w:rPr>
              <w:t>中心点坐标：113°27′12″，38°42′</w:t>
            </w:r>
            <w:r>
              <w:rPr>
                <w:rFonts w:hint="eastAsia"/>
                <w:szCs w:val="24"/>
              </w:rPr>
              <w:t>5</w:t>
            </w:r>
            <w:r>
              <w:rPr>
                <w:szCs w:val="24"/>
              </w:rPr>
              <w:t>″</w:t>
            </w:r>
            <w:r>
              <w:rPr>
                <w:rFonts w:hint="eastAsia"/>
                <w:szCs w:val="24"/>
              </w:rPr>
              <w:t>。</w:t>
            </w:r>
          </w:p>
        </w:tc>
        <w:tc>
          <w:tcPr>
            <w:tcW w:w="1701" w:type="dxa"/>
            <w:tcBorders>
              <w:left w:val="single" w:color="auto" w:sz="4" w:space="0"/>
            </w:tcBorders>
          </w:tcPr>
          <w:p>
            <w:pPr>
              <w:snapToGrid w:val="0"/>
              <w:jc w:val="left"/>
              <w:rPr>
                <w:szCs w:val="24"/>
              </w:rPr>
            </w:pPr>
            <w:r>
              <w:rPr>
                <w:rFonts w:hint="eastAsia"/>
                <w:szCs w:val="24"/>
              </w:rPr>
              <w:t>P5、P 6、P 8、P 10、P 14、P 21、P 22、P32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pPr>
              <w:snapToGrid w:val="0"/>
              <w:jc w:val="left"/>
              <w:rPr>
                <w:szCs w:val="24"/>
              </w:rPr>
            </w:pPr>
            <w:r>
              <w:rPr>
                <w:rFonts w:hint="eastAsia"/>
                <w:szCs w:val="24"/>
              </w:rPr>
              <w:t>3、</w:t>
            </w:r>
            <w:r>
              <w:rPr>
                <w:rFonts w:hint="eastAsia" w:ascii="宋体" w:hAnsi="宋体"/>
                <w:szCs w:val="24"/>
              </w:rPr>
              <w:t>需说明采矿证换证情况。</w:t>
            </w:r>
          </w:p>
        </w:tc>
        <w:tc>
          <w:tcPr>
            <w:tcW w:w="7230" w:type="dxa"/>
            <w:tcBorders>
              <w:right w:val="single" w:color="auto" w:sz="4" w:space="0"/>
            </w:tcBorders>
          </w:tcPr>
          <w:p>
            <w:pPr>
              <w:snapToGrid w:val="0"/>
              <w:jc w:val="left"/>
              <w:rPr>
                <w:szCs w:val="24"/>
              </w:rPr>
            </w:pPr>
            <w:r>
              <w:rPr>
                <w:rFonts w:hint="eastAsia"/>
                <w:szCs w:val="24"/>
              </w:rPr>
              <w:t>已补充说明“矿山正在办理采矿许可证延续手续”。</w:t>
            </w:r>
          </w:p>
        </w:tc>
        <w:tc>
          <w:tcPr>
            <w:tcW w:w="1701" w:type="dxa"/>
            <w:tcBorders>
              <w:left w:val="single" w:color="auto" w:sz="4" w:space="0"/>
            </w:tcBorders>
          </w:tcPr>
          <w:p>
            <w:pPr>
              <w:snapToGrid w:val="0"/>
              <w:jc w:val="left"/>
              <w:rPr>
                <w:szCs w:val="24"/>
              </w:rPr>
            </w:pPr>
            <w:r>
              <w:rPr>
                <w:rFonts w:hint="eastAsia"/>
                <w:szCs w:val="24"/>
              </w:rPr>
              <w:t>P 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pPr>
              <w:snapToGrid w:val="0"/>
              <w:jc w:val="left"/>
              <w:rPr>
                <w:szCs w:val="24"/>
              </w:rPr>
            </w:pPr>
            <w:r>
              <w:rPr>
                <w:rFonts w:hint="eastAsia"/>
                <w:szCs w:val="24"/>
              </w:rPr>
              <w:t>4、项目区的现状环境破坏程度比周边环境应该严重的多才符合实际情况；应说明规划期的具体目标值制定依据。</w:t>
            </w:r>
          </w:p>
        </w:tc>
        <w:tc>
          <w:tcPr>
            <w:tcW w:w="7230" w:type="dxa"/>
            <w:tcBorders>
              <w:right w:val="single" w:color="auto" w:sz="4" w:space="0"/>
            </w:tcBorders>
          </w:tcPr>
          <w:p>
            <w:pPr>
              <w:snapToGrid w:val="0"/>
              <w:jc w:val="left"/>
              <w:rPr>
                <w:szCs w:val="24"/>
              </w:rPr>
            </w:pPr>
            <w:r>
              <w:rPr>
                <w:rFonts w:hint="eastAsia"/>
                <w:szCs w:val="24"/>
              </w:rPr>
              <w:t>“周边”表述错误，已按意见进行修改；对规划期的具体目标值进行了修改。</w:t>
            </w:r>
          </w:p>
        </w:tc>
        <w:tc>
          <w:tcPr>
            <w:tcW w:w="1701" w:type="dxa"/>
            <w:tcBorders>
              <w:left w:val="single" w:color="auto" w:sz="4" w:space="0"/>
            </w:tcBorders>
          </w:tcPr>
          <w:p>
            <w:pPr>
              <w:snapToGrid w:val="0"/>
              <w:jc w:val="left"/>
              <w:rPr>
                <w:szCs w:val="24"/>
              </w:rPr>
            </w:pPr>
            <w:r>
              <w:rPr>
                <w:rFonts w:hint="eastAsia"/>
                <w:szCs w:val="24"/>
              </w:rPr>
              <w:t>P23~P26、P34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pPr>
              <w:snapToGrid w:val="0"/>
              <w:jc w:val="left"/>
              <w:rPr>
                <w:szCs w:val="24"/>
              </w:rPr>
            </w:pPr>
            <w:r>
              <w:rPr>
                <w:rFonts w:hint="eastAsia"/>
                <w:szCs w:val="24"/>
              </w:rPr>
              <w:t>5、矿山现状调查内容示意图应突出矿山开采、剥离表土、原料及产品的堆放、石粉的处置等对环境的影响，矿山现状及环境问题，可列表系统说明；列表制定环境保护内容及生态恢复措施内容。一般的石料开采加工项目环境保护内容应包括：湿式开采作业、原料堆场防护抑尘、加工粉尘收集有组织排放、产品封闭库存、妥善处置石粉、道路抑尘、场地硬化、地面初期雨水收集等；生态恢复内容包括：项目区遗留环境问题的整治、采区迹地的生态恢复，裸岩植生袋等新技术的应用、覆土土料来源、工业场地的原地面恢复、废石场整治等。</w:t>
            </w:r>
          </w:p>
        </w:tc>
        <w:tc>
          <w:tcPr>
            <w:tcW w:w="7230" w:type="dxa"/>
            <w:tcBorders>
              <w:right w:val="single" w:color="auto" w:sz="4" w:space="0"/>
            </w:tcBorders>
          </w:tcPr>
          <w:p>
            <w:pPr>
              <w:snapToGrid w:val="0"/>
              <w:jc w:val="left"/>
              <w:rPr>
                <w:szCs w:val="24"/>
              </w:rPr>
            </w:pPr>
            <w:r>
              <w:rPr>
                <w:rFonts w:hint="eastAsia"/>
                <w:szCs w:val="24"/>
              </w:rPr>
              <w:t>调查内容已按意见进行修改；已列表说明矿山存在的生态环境问题及解决内容。工程内容已经具体参数、具体内容，已补充具体工程量表。</w:t>
            </w:r>
          </w:p>
        </w:tc>
        <w:tc>
          <w:tcPr>
            <w:tcW w:w="1701" w:type="dxa"/>
            <w:tcBorders>
              <w:left w:val="single" w:color="auto" w:sz="4" w:space="0"/>
            </w:tcBorders>
          </w:tcPr>
          <w:p>
            <w:pPr>
              <w:snapToGrid w:val="0"/>
              <w:jc w:val="left"/>
              <w:rPr>
                <w:szCs w:val="24"/>
              </w:rPr>
            </w:pPr>
            <w:r>
              <w:rPr>
                <w:rFonts w:hint="eastAsia"/>
                <w:szCs w:val="24"/>
              </w:rPr>
              <w:t>P17、P31、P38~P43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pPr>
              <w:snapToGrid w:val="0"/>
              <w:jc w:val="left"/>
              <w:rPr>
                <w:szCs w:val="24"/>
              </w:rPr>
            </w:pPr>
            <w:r>
              <w:rPr>
                <w:rFonts w:hint="eastAsia"/>
                <w:szCs w:val="24"/>
              </w:rPr>
              <w:t>6、废石场应划为重点防治区，完善其技术参数。</w:t>
            </w:r>
          </w:p>
        </w:tc>
        <w:tc>
          <w:tcPr>
            <w:tcW w:w="7230" w:type="dxa"/>
            <w:tcBorders>
              <w:right w:val="single" w:color="auto" w:sz="4" w:space="0"/>
            </w:tcBorders>
          </w:tcPr>
          <w:p>
            <w:pPr>
              <w:snapToGrid w:val="0"/>
              <w:jc w:val="left"/>
              <w:rPr>
                <w:szCs w:val="24"/>
              </w:rPr>
            </w:pPr>
            <w:r>
              <w:rPr>
                <w:rFonts w:hint="eastAsia"/>
                <w:szCs w:val="24"/>
              </w:rPr>
              <w:t>原废渣场地已说明对废渣进行</w:t>
            </w:r>
            <w:r>
              <w:rPr>
                <w:szCs w:val="24"/>
              </w:rPr>
              <w:t>清理</w:t>
            </w:r>
            <w:r>
              <w:rPr>
                <w:rFonts w:hint="eastAsia"/>
                <w:szCs w:val="24"/>
              </w:rPr>
              <w:t>、</w:t>
            </w:r>
            <w:r>
              <w:rPr>
                <w:szCs w:val="24"/>
              </w:rPr>
              <w:t>铺路</w:t>
            </w:r>
            <w:r>
              <w:rPr>
                <w:rFonts w:hint="eastAsia"/>
                <w:szCs w:val="24"/>
              </w:rPr>
              <w:t>、</w:t>
            </w:r>
            <w:r>
              <w:rPr>
                <w:szCs w:val="24"/>
              </w:rPr>
              <w:t>外销</w:t>
            </w:r>
            <w:r>
              <w:rPr>
                <w:rFonts w:hint="eastAsia"/>
                <w:szCs w:val="24"/>
              </w:rPr>
              <w:t>，</w:t>
            </w:r>
            <w:r>
              <w:rPr>
                <w:szCs w:val="24"/>
              </w:rPr>
              <w:t>剩余部分运至拟建废渣场地内</w:t>
            </w:r>
            <w:r>
              <w:rPr>
                <w:rFonts w:hint="eastAsia"/>
                <w:szCs w:val="24"/>
              </w:rPr>
              <w:t>。</w:t>
            </w:r>
            <w:r>
              <w:rPr>
                <w:szCs w:val="24"/>
              </w:rPr>
              <w:t>设计的废渣场已补充配套设施的具体参数及工程量</w:t>
            </w:r>
            <w:r>
              <w:rPr>
                <w:rFonts w:hint="eastAsia"/>
                <w:szCs w:val="24"/>
              </w:rPr>
              <w:t>。</w:t>
            </w:r>
          </w:p>
        </w:tc>
        <w:tc>
          <w:tcPr>
            <w:tcW w:w="1701" w:type="dxa"/>
            <w:tcBorders>
              <w:left w:val="single" w:color="auto" w:sz="4" w:space="0"/>
            </w:tcBorders>
          </w:tcPr>
          <w:p>
            <w:pPr>
              <w:snapToGrid w:val="0"/>
              <w:jc w:val="left"/>
              <w:rPr>
                <w:szCs w:val="24"/>
              </w:rPr>
            </w:pPr>
            <w:r>
              <w:rPr>
                <w:rFonts w:hint="eastAsia"/>
                <w:szCs w:val="24"/>
              </w:rPr>
              <w:t>P31、P38、P42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pPr>
              <w:snapToGrid w:val="0"/>
              <w:jc w:val="left"/>
              <w:rPr>
                <w:szCs w:val="24"/>
              </w:rPr>
            </w:pPr>
            <w:r>
              <w:rPr>
                <w:rFonts w:hint="eastAsia"/>
                <w:szCs w:val="24"/>
              </w:rPr>
              <w:t>7、环境监测，应切合实际情况制定必要的、可行的监测内容与频次，上报时间和部门应说明依据。</w:t>
            </w:r>
          </w:p>
        </w:tc>
        <w:tc>
          <w:tcPr>
            <w:tcW w:w="7230" w:type="dxa"/>
            <w:tcBorders>
              <w:right w:val="single" w:color="auto" w:sz="4" w:space="0"/>
            </w:tcBorders>
          </w:tcPr>
          <w:p>
            <w:pPr>
              <w:snapToGrid w:val="0"/>
              <w:jc w:val="left"/>
              <w:rPr>
                <w:szCs w:val="24"/>
              </w:rPr>
            </w:pPr>
            <w:r>
              <w:rPr>
                <w:szCs w:val="24"/>
              </w:rPr>
              <w:t>根据《山西省矿山生态环境质量季报管理办法》，矿区相应建立年审申报制度和季报制度</w:t>
            </w:r>
            <w:r>
              <w:rPr>
                <w:rFonts w:hint="eastAsia"/>
                <w:szCs w:val="24"/>
              </w:rPr>
              <w:t>，</w:t>
            </w:r>
            <w:r>
              <w:rPr>
                <w:szCs w:val="24"/>
              </w:rPr>
              <w:t>上部部门已修改为</w:t>
            </w:r>
            <w:r>
              <w:rPr>
                <w:rFonts w:hint="eastAsia"/>
                <w:szCs w:val="24"/>
              </w:rPr>
              <w:t>县局。</w:t>
            </w:r>
          </w:p>
        </w:tc>
        <w:tc>
          <w:tcPr>
            <w:tcW w:w="1701" w:type="dxa"/>
            <w:tcBorders>
              <w:left w:val="single" w:color="auto" w:sz="4" w:space="0"/>
            </w:tcBorders>
          </w:tcPr>
          <w:p>
            <w:pPr>
              <w:snapToGrid w:val="0"/>
              <w:jc w:val="left"/>
              <w:rPr>
                <w:szCs w:val="24"/>
              </w:rPr>
            </w:pPr>
            <w:r>
              <w:rPr>
                <w:szCs w:val="24"/>
              </w:rPr>
              <w:t>P</w:t>
            </w:r>
            <w:r>
              <w:rPr>
                <w:rFonts w:hint="eastAsia"/>
                <w:szCs w:val="24"/>
              </w:rPr>
              <w:t>43、P44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pPr>
              <w:snapToGrid w:val="0"/>
              <w:jc w:val="left"/>
              <w:rPr>
                <w:szCs w:val="24"/>
              </w:rPr>
            </w:pPr>
            <w:r>
              <w:rPr>
                <w:rFonts w:hint="eastAsia"/>
                <w:szCs w:val="24"/>
              </w:rPr>
              <w:t>8、规划图反映的废石场位于山体坡面，不够合理，应优先选择沟道场址较好。</w:t>
            </w:r>
          </w:p>
        </w:tc>
        <w:tc>
          <w:tcPr>
            <w:tcW w:w="7230" w:type="dxa"/>
            <w:tcBorders>
              <w:right w:val="single" w:color="auto" w:sz="4" w:space="0"/>
            </w:tcBorders>
          </w:tcPr>
          <w:p>
            <w:pPr>
              <w:snapToGrid w:val="0"/>
              <w:jc w:val="left"/>
              <w:rPr>
                <w:szCs w:val="24"/>
              </w:rPr>
            </w:pPr>
            <w:r>
              <w:rPr>
                <w:rFonts w:hint="eastAsia"/>
                <w:szCs w:val="24"/>
              </w:rPr>
              <w:t>设计的废渣场位于不再利用的露天采场内。</w:t>
            </w:r>
          </w:p>
        </w:tc>
        <w:tc>
          <w:tcPr>
            <w:tcW w:w="1701" w:type="dxa"/>
            <w:tcBorders>
              <w:left w:val="single" w:color="auto" w:sz="4" w:space="0"/>
            </w:tcBorders>
          </w:tcPr>
          <w:p>
            <w:pPr>
              <w:snapToGrid w:val="0"/>
              <w:jc w:val="left"/>
              <w:rPr>
                <w:szCs w:val="24"/>
              </w:rPr>
            </w:pPr>
            <w:r>
              <w:rPr>
                <w:rFonts w:hint="eastAsia"/>
                <w:szCs w:val="24"/>
              </w:rPr>
              <w:t>附图1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pPr>
              <w:snapToGrid w:val="0"/>
              <w:jc w:val="left"/>
              <w:rPr>
                <w:szCs w:val="24"/>
              </w:rPr>
            </w:pPr>
            <w:r>
              <w:rPr>
                <w:rFonts w:hint="eastAsia"/>
                <w:szCs w:val="24"/>
              </w:rPr>
              <w:t>9、进一步规范相关图件，附图二、四补全CGCS2000坐标系统；复核投资估算，细化投资明细；完善有关附件资料。</w:t>
            </w:r>
          </w:p>
        </w:tc>
        <w:tc>
          <w:tcPr>
            <w:tcW w:w="7230" w:type="dxa"/>
            <w:tcBorders>
              <w:right w:val="single" w:color="auto" w:sz="4" w:space="0"/>
            </w:tcBorders>
          </w:tcPr>
          <w:p>
            <w:pPr>
              <w:snapToGrid w:val="0"/>
              <w:jc w:val="left"/>
              <w:rPr>
                <w:szCs w:val="24"/>
              </w:rPr>
            </w:pPr>
            <w:r>
              <w:rPr>
                <w:rFonts w:hint="eastAsia"/>
                <w:szCs w:val="24"/>
              </w:rPr>
              <w:t>已规范相关图件，附图二、四补全CGCS2000坐标系统；已补充工程量一览表及投资估算一览表；补充了附件：如安全生产许可证、排污许可证等证件</w:t>
            </w:r>
          </w:p>
        </w:tc>
        <w:tc>
          <w:tcPr>
            <w:tcW w:w="1701" w:type="dxa"/>
            <w:tcBorders>
              <w:left w:val="single" w:color="auto" w:sz="4" w:space="0"/>
            </w:tcBorders>
          </w:tcPr>
          <w:p>
            <w:pPr>
              <w:snapToGrid w:val="0"/>
              <w:jc w:val="left"/>
              <w:rPr>
                <w:szCs w:val="24"/>
              </w:rPr>
            </w:pPr>
            <w:r>
              <w:rPr>
                <w:rFonts w:hint="eastAsia"/>
                <w:szCs w:val="24"/>
              </w:rPr>
              <w:t>附图2、附图4、P46~P49、附件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pPr>
              <w:snapToGrid w:val="0"/>
              <w:jc w:val="left"/>
              <w:rPr>
                <w:szCs w:val="24"/>
              </w:rPr>
            </w:pPr>
            <w:r>
              <w:rPr>
                <w:rFonts w:hint="eastAsia"/>
                <w:szCs w:val="24"/>
              </w:rPr>
              <w:t>10、参照评审专家个人意见一并修改。</w:t>
            </w:r>
          </w:p>
        </w:tc>
        <w:tc>
          <w:tcPr>
            <w:tcW w:w="7230" w:type="dxa"/>
            <w:tcBorders>
              <w:right w:val="single" w:color="auto" w:sz="4" w:space="0"/>
            </w:tcBorders>
          </w:tcPr>
          <w:p>
            <w:pPr>
              <w:snapToGrid w:val="0"/>
              <w:jc w:val="left"/>
              <w:rPr>
                <w:szCs w:val="24"/>
              </w:rPr>
            </w:pPr>
            <w:r>
              <w:rPr>
                <w:rFonts w:hint="eastAsia"/>
                <w:szCs w:val="24"/>
              </w:rPr>
              <w:t>按照专家个人意见已进行修改</w:t>
            </w:r>
          </w:p>
        </w:tc>
        <w:tc>
          <w:tcPr>
            <w:tcW w:w="1701" w:type="dxa"/>
            <w:tcBorders>
              <w:left w:val="single" w:color="auto" w:sz="4" w:space="0"/>
            </w:tcBorders>
          </w:tcPr>
          <w:p>
            <w:pPr>
              <w:snapToGrid w:val="0"/>
              <w:jc w:val="left"/>
              <w:rPr>
                <w:szCs w:val="24"/>
              </w:rPr>
            </w:pPr>
            <w:r>
              <w:rPr>
                <w:rFonts w:hint="eastAsia"/>
                <w:szCs w:val="24"/>
              </w:rPr>
              <w:t>方案、附图</w:t>
            </w:r>
          </w:p>
        </w:tc>
      </w:tr>
    </w:tbl>
    <w:p>
      <w:pPr>
        <w:jc w:val="left"/>
        <w:rPr>
          <w:sz w:val="28"/>
          <w:szCs w:val="28"/>
        </w:rPr>
        <w:sectPr>
          <w:headerReference r:id="rId6" w:type="default"/>
          <w:pgSz w:w="16838" w:h="11906" w:orient="landscape"/>
          <w:pgMar w:top="1417" w:right="1417" w:bottom="1417" w:left="1417" w:header="851" w:footer="992" w:gutter="0"/>
          <w:cols w:space="425" w:num="1"/>
          <w:docGrid w:type="lines" w:linePitch="326" w:charSpace="0"/>
        </w:sectPr>
      </w:pPr>
    </w:p>
    <w:sdt>
      <w:sdtPr>
        <w:rPr>
          <w:rFonts w:ascii="Times New Roman" w:hAnsi="Times New Roman" w:cs="Arial"/>
          <w:spacing w:val="10"/>
          <w:sz w:val="21"/>
        </w:rPr>
        <w:id w:val="147477918"/>
        <w:docPartObj>
          <w:docPartGallery w:val="Table of Contents"/>
          <w:docPartUnique/>
        </w:docPartObj>
      </w:sdtPr>
      <w:sdtEndPr>
        <w:rPr>
          <w:rFonts w:ascii="Times New Roman" w:hAnsi="Times New Roman" w:cs="Arial"/>
          <w:spacing w:val="10"/>
          <w:sz w:val="24"/>
        </w:rPr>
      </w:sdtEndPr>
      <w:sdtContent>
        <w:p>
          <w:pPr>
            <w:spacing w:line="240" w:lineRule="auto"/>
            <w:jc w:val="center"/>
            <w:rPr>
              <w:rFonts w:ascii="Times New Roman" w:hAnsi="Times New Roman"/>
            </w:rPr>
          </w:pPr>
          <w:r>
            <w:rPr>
              <w:rFonts w:ascii="Times New Roman" w:hAnsi="宋体"/>
              <w:b/>
              <w:bCs/>
              <w:sz w:val="30"/>
              <w:szCs w:val="30"/>
            </w:rPr>
            <w:t>目录</w:t>
          </w:r>
        </w:p>
        <w:p>
          <w:pPr>
            <w:pStyle w:val="16"/>
            <w:tabs>
              <w:tab w:val="right" w:leader="dot" w:pos="9062"/>
            </w:tabs>
            <w:rPr>
              <w:rFonts w:asciiTheme="minorHAnsi" w:hAnsiTheme="minorHAnsi" w:eastAsiaTheme="minorEastAsia" w:cstheme="minorBidi"/>
              <w:sz w:val="21"/>
            </w:rPr>
          </w:pPr>
          <w:r>
            <w:rPr>
              <w:rFonts w:ascii="Times New Roman" w:hAnsi="Times New Roman"/>
            </w:rPr>
            <w:fldChar w:fldCharType="begin"/>
          </w:r>
          <w:r>
            <w:rPr>
              <w:rFonts w:ascii="Times New Roman" w:hAnsi="Times New Roman"/>
            </w:rPr>
            <w:instrText xml:space="preserve">TOC \o "1-3" \h \u </w:instrText>
          </w:r>
          <w:r>
            <w:rPr>
              <w:rFonts w:ascii="Times New Roman" w:hAnsi="Times New Roman"/>
            </w:rPr>
            <w:fldChar w:fldCharType="separate"/>
          </w:r>
          <w:r>
            <w:fldChar w:fldCharType="begin"/>
          </w:r>
          <w:r>
            <w:instrText xml:space="preserve"> HYPERLINK \l "_Toc71036621" </w:instrText>
          </w:r>
          <w:r>
            <w:fldChar w:fldCharType="separate"/>
          </w:r>
          <w:r>
            <w:rPr>
              <w:rStyle w:val="26"/>
              <w:rFonts w:ascii="Times New Roman" w:hAnsi="Times New Roman"/>
            </w:rPr>
            <w:t xml:space="preserve">1  </w:t>
          </w:r>
          <w:r>
            <w:rPr>
              <w:rStyle w:val="26"/>
              <w:rFonts w:hint="eastAsia" w:ascii="Times New Roman"/>
            </w:rPr>
            <w:t>总论</w:t>
          </w:r>
          <w:r>
            <w:tab/>
          </w:r>
          <w:r>
            <w:fldChar w:fldCharType="begin"/>
          </w:r>
          <w:r>
            <w:instrText xml:space="preserve"> PAGEREF _Toc71036621 \h </w:instrText>
          </w:r>
          <w:r>
            <w:fldChar w:fldCharType="separate"/>
          </w:r>
          <w:r>
            <w:t>1</w:t>
          </w:r>
          <w:r>
            <w:fldChar w:fldCharType="end"/>
          </w:r>
          <w:r>
            <w:fldChar w:fldCharType="end"/>
          </w:r>
        </w:p>
        <w:p>
          <w:pPr>
            <w:pStyle w:val="20"/>
            <w:tabs>
              <w:tab w:val="right" w:leader="dot" w:pos="9062"/>
            </w:tabs>
            <w:ind w:left="480"/>
            <w:rPr>
              <w:rFonts w:asciiTheme="minorHAnsi" w:hAnsiTheme="minorHAnsi" w:eastAsiaTheme="minorEastAsia" w:cstheme="minorBidi"/>
              <w:sz w:val="21"/>
            </w:rPr>
          </w:pPr>
          <w:r>
            <w:fldChar w:fldCharType="begin"/>
          </w:r>
          <w:r>
            <w:instrText xml:space="preserve"> HYPERLINK \l "_Toc71036622" </w:instrText>
          </w:r>
          <w:r>
            <w:fldChar w:fldCharType="separate"/>
          </w:r>
          <w:r>
            <w:rPr>
              <w:rStyle w:val="26"/>
              <w:rFonts w:ascii="Times New Roman" w:hAnsi="Times New Roman"/>
            </w:rPr>
            <w:t xml:space="preserve">1.1  </w:t>
          </w:r>
          <w:r>
            <w:rPr>
              <w:rStyle w:val="26"/>
              <w:rFonts w:hint="eastAsia" w:ascii="Times New Roman"/>
            </w:rPr>
            <w:t>任务的由来</w:t>
          </w:r>
          <w:r>
            <w:tab/>
          </w:r>
          <w:r>
            <w:fldChar w:fldCharType="begin"/>
          </w:r>
          <w:r>
            <w:instrText xml:space="preserve"> PAGEREF _Toc71036622 \h </w:instrText>
          </w:r>
          <w:r>
            <w:fldChar w:fldCharType="separate"/>
          </w:r>
          <w:r>
            <w:t>1</w:t>
          </w:r>
          <w:r>
            <w:fldChar w:fldCharType="end"/>
          </w:r>
          <w:r>
            <w:fldChar w:fldCharType="end"/>
          </w:r>
        </w:p>
        <w:p>
          <w:pPr>
            <w:pStyle w:val="20"/>
            <w:tabs>
              <w:tab w:val="right" w:leader="dot" w:pos="9062"/>
            </w:tabs>
            <w:ind w:left="480"/>
            <w:rPr>
              <w:rFonts w:asciiTheme="minorHAnsi" w:hAnsiTheme="minorHAnsi" w:eastAsiaTheme="minorEastAsia" w:cstheme="minorBidi"/>
              <w:sz w:val="21"/>
            </w:rPr>
          </w:pPr>
          <w:r>
            <w:fldChar w:fldCharType="begin"/>
          </w:r>
          <w:r>
            <w:instrText xml:space="preserve"> HYPERLINK \l "_Toc71036623" </w:instrText>
          </w:r>
          <w:r>
            <w:fldChar w:fldCharType="separate"/>
          </w:r>
          <w:r>
            <w:rPr>
              <w:rStyle w:val="26"/>
              <w:rFonts w:ascii="Times New Roman" w:hAnsi="Times New Roman"/>
            </w:rPr>
            <w:t xml:space="preserve">1.2  </w:t>
          </w:r>
          <w:r>
            <w:rPr>
              <w:rStyle w:val="26"/>
              <w:rFonts w:hint="eastAsia" w:ascii="Times New Roman"/>
            </w:rPr>
            <w:t>必要性和意义</w:t>
          </w:r>
          <w:r>
            <w:tab/>
          </w:r>
          <w:r>
            <w:fldChar w:fldCharType="begin"/>
          </w:r>
          <w:r>
            <w:instrText xml:space="preserve"> PAGEREF _Toc71036623 \h </w:instrText>
          </w:r>
          <w:r>
            <w:fldChar w:fldCharType="separate"/>
          </w:r>
          <w:r>
            <w:t>1</w:t>
          </w:r>
          <w:r>
            <w:fldChar w:fldCharType="end"/>
          </w:r>
          <w:r>
            <w:fldChar w:fldCharType="end"/>
          </w:r>
        </w:p>
        <w:p>
          <w:pPr>
            <w:pStyle w:val="20"/>
            <w:tabs>
              <w:tab w:val="right" w:leader="dot" w:pos="9062"/>
            </w:tabs>
            <w:ind w:left="480"/>
            <w:rPr>
              <w:rFonts w:asciiTheme="minorHAnsi" w:hAnsiTheme="minorHAnsi" w:eastAsiaTheme="minorEastAsia" w:cstheme="minorBidi"/>
              <w:sz w:val="21"/>
            </w:rPr>
          </w:pPr>
          <w:r>
            <w:fldChar w:fldCharType="begin"/>
          </w:r>
          <w:r>
            <w:instrText xml:space="preserve"> HYPERLINK \l "_Toc71036624" </w:instrText>
          </w:r>
          <w:r>
            <w:fldChar w:fldCharType="separate"/>
          </w:r>
          <w:r>
            <w:rPr>
              <w:rStyle w:val="26"/>
            </w:rPr>
            <w:t xml:space="preserve">1.3  </w:t>
          </w:r>
          <w:r>
            <w:rPr>
              <w:rStyle w:val="26"/>
              <w:rFonts w:hint="eastAsia"/>
            </w:rPr>
            <w:t>编制依据</w:t>
          </w:r>
          <w:r>
            <w:tab/>
          </w:r>
          <w:r>
            <w:fldChar w:fldCharType="begin"/>
          </w:r>
          <w:r>
            <w:instrText xml:space="preserve"> PAGEREF _Toc71036624 \h </w:instrText>
          </w:r>
          <w:r>
            <w:fldChar w:fldCharType="separate"/>
          </w:r>
          <w:r>
            <w:t>2</w:t>
          </w:r>
          <w:r>
            <w:fldChar w:fldCharType="end"/>
          </w:r>
          <w:r>
            <w:fldChar w:fldCharType="end"/>
          </w:r>
        </w:p>
        <w:p>
          <w:pPr>
            <w:pStyle w:val="9"/>
            <w:tabs>
              <w:tab w:val="right" w:leader="dot" w:pos="9062"/>
            </w:tabs>
            <w:ind w:left="960"/>
            <w:rPr>
              <w:rFonts w:asciiTheme="minorHAnsi" w:hAnsiTheme="minorHAnsi" w:eastAsiaTheme="minorEastAsia" w:cstheme="minorBidi"/>
              <w:sz w:val="21"/>
            </w:rPr>
          </w:pPr>
          <w:r>
            <w:fldChar w:fldCharType="begin"/>
          </w:r>
          <w:r>
            <w:instrText xml:space="preserve"> HYPERLINK \l "_Toc71036625" </w:instrText>
          </w:r>
          <w:r>
            <w:fldChar w:fldCharType="separate"/>
          </w:r>
          <w:r>
            <w:rPr>
              <w:rStyle w:val="26"/>
            </w:rPr>
            <w:t xml:space="preserve">1.3.1 </w:t>
          </w:r>
          <w:r>
            <w:rPr>
              <w:rStyle w:val="26"/>
              <w:rFonts w:hint="eastAsia"/>
            </w:rPr>
            <w:t>法律法规依据</w:t>
          </w:r>
          <w:r>
            <w:tab/>
          </w:r>
          <w:r>
            <w:fldChar w:fldCharType="begin"/>
          </w:r>
          <w:r>
            <w:instrText xml:space="preserve"> PAGEREF _Toc71036625 \h </w:instrText>
          </w:r>
          <w:r>
            <w:fldChar w:fldCharType="separate"/>
          </w:r>
          <w:r>
            <w:t>2</w:t>
          </w:r>
          <w:r>
            <w:fldChar w:fldCharType="end"/>
          </w:r>
          <w:r>
            <w:fldChar w:fldCharType="end"/>
          </w:r>
        </w:p>
        <w:p>
          <w:pPr>
            <w:pStyle w:val="9"/>
            <w:tabs>
              <w:tab w:val="right" w:leader="dot" w:pos="9062"/>
            </w:tabs>
            <w:ind w:left="960"/>
            <w:rPr>
              <w:rFonts w:asciiTheme="minorHAnsi" w:hAnsiTheme="minorHAnsi" w:eastAsiaTheme="minorEastAsia" w:cstheme="minorBidi"/>
              <w:sz w:val="21"/>
            </w:rPr>
          </w:pPr>
          <w:r>
            <w:fldChar w:fldCharType="begin"/>
          </w:r>
          <w:r>
            <w:instrText xml:space="preserve"> HYPERLINK \l "_Toc71036626" </w:instrText>
          </w:r>
          <w:r>
            <w:fldChar w:fldCharType="separate"/>
          </w:r>
          <w:r>
            <w:rPr>
              <w:rStyle w:val="26"/>
            </w:rPr>
            <w:t>1.3.3</w:t>
          </w:r>
          <w:r>
            <w:rPr>
              <w:rStyle w:val="26"/>
              <w:rFonts w:hint="eastAsia"/>
            </w:rPr>
            <w:t>相关规划</w:t>
          </w:r>
          <w:r>
            <w:tab/>
          </w:r>
          <w:r>
            <w:fldChar w:fldCharType="begin"/>
          </w:r>
          <w:r>
            <w:instrText xml:space="preserve"> PAGEREF _Toc71036626 \h </w:instrText>
          </w:r>
          <w:r>
            <w:fldChar w:fldCharType="separate"/>
          </w:r>
          <w:r>
            <w:t>3</w:t>
          </w:r>
          <w:r>
            <w:fldChar w:fldCharType="end"/>
          </w:r>
          <w:r>
            <w:fldChar w:fldCharType="end"/>
          </w:r>
        </w:p>
        <w:p>
          <w:pPr>
            <w:pStyle w:val="9"/>
            <w:tabs>
              <w:tab w:val="right" w:leader="dot" w:pos="9062"/>
            </w:tabs>
            <w:ind w:left="960"/>
            <w:rPr>
              <w:rFonts w:asciiTheme="minorHAnsi" w:hAnsiTheme="minorHAnsi" w:eastAsiaTheme="minorEastAsia" w:cstheme="minorBidi"/>
              <w:sz w:val="21"/>
            </w:rPr>
          </w:pPr>
          <w:r>
            <w:fldChar w:fldCharType="begin"/>
          </w:r>
          <w:r>
            <w:instrText xml:space="preserve"> HYPERLINK \l "_Toc71036627" </w:instrText>
          </w:r>
          <w:r>
            <w:fldChar w:fldCharType="separate"/>
          </w:r>
          <w:r>
            <w:rPr>
              <w:rStyle w:val="26"/>
            </w:rPr>
            <w:t>1.3.2</w:t>
          </w:r>
          <w:r>
            <w:rPr>
              <w:rStyle w:val="26"/>
              <w:rFonts w:hint="eastAsia"/>
            </w:rPr>
            <w:t>相关技术文件及部门规章规范文件</w:t>
          </w:r>
          <w:r>
            <w:tab/>
          </w:r>
          <w:r>
            <w:fldChar w:fldCharType="begin"/>
          </w:r>
          <w:r>
            <w:instrText xml:space="preserve"> PAGEREF _Toc71036627 \h </w:instrText>
          </w:r>
          <w:r>
            <w:fldChar w:fldCharType="separate"/>
          </w:r>
          <w:r>
            <w:t>3</w:t>
          </w:r>
          <w:r>
            <w:fldChar w:fldCharType="end"/>
          </w:r>
          <w:r>
            <w:fldChar w:fldCharType="end"/>
          </w:r>
        </w:p>
        <w:p>
          <w:pPr>
            <w:pStyle w:val="9"/>
            <w:tabs>
              <w:tab w:val="right" w:leader="dot" w:pos="9062"/>
            </w:tabs>
            <w:ind w:left="960"/>
            <w:rPr>
              <w:rFonts w:asciiTheme="minorHAnsi" w:hAnsiTheme="minorHAnsi" w:eastAsiaTheme="minorEastAsia" w:cstheme="minorBidi"/>
              <w:sz w:val="21"/>
            </w:rPr>
          </w:pPr>
          <w:r>
            <w:fldChar w:fldCharType="begin"/>
          </w:r>
          <w:r>
            <w:instrText xml:space="preserve"> HYPERLINK \l "_Toc71036628" </w:instrText>
          </w:r>
          <w:r>
            <w:fldChar w:fldCharType="separate"/>
          </w:r>
          <w:r>
            <w:rPr>
              <w:rStyle w:val="26"/>
            </w:rPr>
            <w:t>1.3.3</w:t>
          </w:r>
          <w:r>
            <w:rPr>
              <w:rStyle w:val="26"/>
              <w:rFonts w:hint="eastAsia"/>
            </w:rPr>
            <w:t>投资估算依据</w:t>
          </w:r>
          <w:r>
            <w:tab/>
          </w:r>
          <w:r>
            <w:fldChar w:fldCharType="begin"/>
          </w:r>
          <w:r>
            <w:instrText xml:space="preserve"> PAGEREF _Toc71036628 \h </w:instrText>
          </w:r>
          <w:r>
            <w:fldChar w:fldCharType="separate"/>
          </w:r>
          <w:r>
            <w:t>4</w:t>
          </w:r>
          <w:r>
            <w:fldChar w:fldCharType="end"/>
          </w:r>
          <w:r>
            <w:fldChar w:fldCharType="end"/>
          </w:r>
        </w:p>
        <w:p>
          <w:pPr>
            <w:pStyle w:val="9"/>
            <w:tabs>
              <w:tab w:val="right" w:leader="dot" w:pos="9062"/>
            </w:tabs>
            <w:ind w:left="960"/>
            <w:rPr>
              <w:rFonts w:asciiTheme="minorHAnsi" w:hAnsiTheme="minorHAnsi" w:eastAsiaTheme="minorEastAsia" w:cstheme="minorBidi"/>
              <w:sz w:val="21"/>
            </w:rPr>
          </w:pPr>
          <w:r>
            <w:fldChar w:fldCharType="begin"/>
          </w:r>
          <w:r>
            <w:instrText xml:space="preserve"> HYPERLINK \l "_Toc71036629" </w:instrText>
          </w:r>
          <w:r>
            <w:fldChar w:fldCharType="separate"/>
          </w:r>
          <w:r>
            <w:rPr>
              <w:rStyle w:val="26"/>
            </w:rPr>
            <w:t>1.3.4</w:t>
          </w:r>
          <w:r>
            <w:rPr>
              <w:rStyle w:val="26"/>
              <w:rFonts w:hint="eastAsia"/>
            </w:rPr>
            <w:t>相关标准</w:t>
          </w:r>
          <w:r>
            <w:tab/>
          </w:r>
          <w:r>
            <w:fldChar w:fldCharType="begin"/>
          </w:r>
          <w:r>
            <w:instrText xml:space="preserve"> PAGEREF _Toc71036629 \h </w:instrText>
          </w:r>
          <w:r>
            <w:fldChar w:fldCharType="separate"/>
          </w:r>
          <w:r>
            <w:t>4</w:t>
          </w:r>
          <w:r>
            <w:fldChar w:fldCharType="end"/>
          </w:r>
          <w:r>
            <w:fldChar w:fldCharType="end"/>
          </w:r>
        </w:p>
        <w:p>
          <w:pPr>
            <w:pStyle w:val="9"/>
            <w:tabs>
              <w:tab w:val="right" w:leader="dot" w:pos="9062"/>
            </w:tabs>
            <w:ind w:left="960"/>
            <w:rPr>
              <w:rFonts w:asciiTheme="minorHAnsi" w:hAnsiTheme="minorHAnsi" w:eastAsiaTheme="minorEastAsia" w:cstheme="minorBidi"/>
              <w:sz w:val="21"/>
            </w:rPr>
          </w:pPr>
          <w:r>
            <w:fldChar w:fldCharType="begin"/>
          </w:r>
          <w:r>
            <w:instrText xml:space="preserve"> HYPERLINK \l "_Toc71036630" </w:instrText>
          </w:r>
          <w:r>
            <w:fldChar w:fldCharType="separate"/>
          </w:r>
          <w:r>
            <w:rPr>
              <w:rStyle w:val="26"/>
            </w:rPr>
            <w:t xml:space="preserve">1.3.5 </w:t>
          </w:r>
          <w:r>
            <w:rPr>
              <w:rStyle w:val="26"/>
              <w:rFonts w:hint="eastAsia"/>
            </w:rPr>
            <w:t>依据资料</w:t>
          </w:r>
          <w:r>
            <w:tab/>
          </w:r>
          <w:r>
            <w:fldChar w:fldCharType="begin"/>
          </w:r>
          <w:r>
            <w:instrText xml:space="preserve"> PAGEREF _Toc71036630 \h </w:instrText>
          </w:r>
          <w:r>
            <w:fldChar w:fldCharType="separate"/>
          </w:r>
          <w:r>
            <w:t>5</w:t>
          </w:r>
          <w:r>
            <w:fldChar w:fldCharType="end"/>
          </w:r>
          <w:r>
            <w:fldChar w:fldCharType="end"/>
          </w:r>
        </w:p>
        <w:p>
          <w:pPr>
            <w:pStyle w:val="20"/>
            <w:tabs>
              <w:tab w:val="right" w:leader="dot" w:pos="9062"/>
            </w:tabs>
            <w:ind w:left="480"/>
            <w:rPr>
              <w:rFonts w:asciiTheme="minorHAnsi" w:hAnsiTheme="minorHAnsi" w:eastAsiaTheme="minorEastAsia" w:cstheme="minorBidi"/>
              <w:sz w:val="21"/>
            </w:rPr>
          </w:pPr>
          <w:r>
            <w:fldChar w:fldCharType="begin"/>
          </w:r>
          <w:r>
            <w:instrText xml:space="preserve"> HYPERLINK \l "_Toc71036631" </w:instrText>
          </w:r>
          <w:r>
            <w:fldChar w:fldCharType="separate"/>
          </w:r>
          <w:r>
            <w:rPr>
              <w:rStyle w:val="26"/>
            </w:rPr>
            <w:t xml:space="preserve">1.4  </w:t>
          </w:r>
          <w:r>
            <w:rPr>
              <w:rStyle w:val="26"/>
              <w:rFonts w:hint="eastAsia"/>
            </w:rPr>
            <w:t>方案涵盖范围</w:t>
          </w:r>
          <w:r>
            <w:tab/>
          </w:r>
          <w:r>
            <w:fldChar w:fldCharType="begin"/>
          </w:r>
          <w:r>
            <w:instrText xml:space="preserve"> PAGEREF _Toc71036631 \h </w:instrText>
          </w:r>
          <w:r>
            <w:fldChar w:fldCharType="separate"/>
          </w:r>
          <w:r>
            <w:t>5</w:t>
          </w:r>
          <w:r>
            <w:fldChar w:fldCharType="end"/>
          </w:r>
          <w:r>
            <w:fldChar w:fldCharType="end"/>
          </w:r>
        </w:p>
        <w:p>
          <w:pPr>
            <w:pStyle w:val="20"/>
            <w:tabs>
              <w:tab w:val="right" w:leader="dot" w:pos="9062"/>
            </w:tabs>
            <w:ind w:left="480"/>
            <w:rPr>
              <w:rFonts w:asciiTheme="minorHAnsi" w:hAnsiTheme="minorHAnsi" w:eastAsiaTheme="minorEastAsia" w:cstheme="minorBidi"/>
              <w:sz w:val="21"/>
            </w:rPr>
          </w:pPr>
          <w:r>
            <w:fldChar w:fldCharType="begin"/>
          </w:r>
          <w:r>
            <w:instrText xml:space="preserve"> HYPERLINK \l "_Toc71036632" </w:instrText>
          </w:r>
          <w:r>
            <w:fldChar w:fldCharType="separate"/>
          </w:r>
          <w:r>
            <w:rPr>
              <w:rStyle w:val="26"/>
            </w:rPr>
            <w:t xml:space="preserve">1.5  </w:t>
          </w:r>
          <w:r>
            <w:rPr>
              <w:rStyle w:val="26"/>
              <w:rFonts w:hint="eastAsia"/>
            </w:rPr>
            <w:t>基准年及实施期限</w:t>
          </w:r>
          <w:r>
            <w:tab/>
          </w:r>
          <w:r>
            <w:fldChar w:fldCharType="begin"/>
          </w:r>
          <w:r>
            <w:instrText xml:space="preserve"> PAGEREF _Toc71036632 \h </w:instrText>
          </w:r>
          <w:r>
            <w:fldChar w:fldCharType="separate"/>
          </w:r>
          <w:r>
            <w:t>5</w:t>
          </w:r>
          <w:r>
            <w:fldChar w:fldCharType="end"/>
          </w:r>
          <w:r>
            <w:fldChar w:fldCharType="end"/>
          </w:r>
        </w:p>
        <w:p>
          <w:pPr>
            <w:pStyle w:val="20"/>
            <w:tabs>
              <w:tab w:val="right" w:leader="dot" w:pos="9062"/>
            </w:tabs>
            <w:ind w:left="480"/>
            <w:rPr>
              <w:rFonts w:asciiTheme="minorHAnsi" w:hAnsiTheme="minorHAnsi" w:eastAsiaTheme="minorEastAsia" w:cstheme="minorBidi"/>
              <w:sz w:val="21"/>
            </w:rPr>
          </w:pPr>
          <w:r>
            <w:fldChar w:fldCharType="begin"/>
          </w:r>
          <w:r>
            <w:instrText xml:space="preserve"> HYPERLINK \l "_Toc71036633" </w:instrText>
          </w:r>
          <w:r>
            <w:fldChar w:fldCharType="separate"/>
          </w:r>
          <w:r>
            <w:rPr>
              <w:rStyle w:val="26"/>
            </w:rPr>
            <w:t xml:space="preserve">1.6 </w:t>
          </w:r>
          <w:r>
            <w:rPr>
              <w:rStyle w:val="26"/>
              <w:rFonts w:hint="eastAsia"/>
            </w:rPr>
            <w:t>方案技术路线</w:t>
          </w:r>
          <w:r>
            <w:tab/>
          </w:r>
          <w:r>
            <w:fldChar w:fldCharType="begin"/>
          </w:r>
          <w:r>
            <w:instrText xml:space="preserve"> PAGEREF _Toc71036633 \h </w:instrText>
          </w:r>
          <w:r>
            <w:fldChar w:fldCharType="separate"/>
          </w:r>
          <w:r>
            <w:t>5</w:t>
          </w:r>
          <w:r>
            <w:fldChar w:fldCharType="end"/>
          </w:r>
          <w:r>
            <w:fldChar w:fldCharType="end"/>
          </w:r>
        </w:p>
        <w:p>
          <w:pPr>
            <w:pStyle w:val="16"/>
            <w:tabs>
              <w:tab w:val="right" w:leader="dot" w:pos="9062"/>
            </w:tabs>
            <w:rPr>
              <w:rFonts w:asciiTheme="minorHAnsi" w:hAnsiTheme="minorHAnsi" w:eastAsiaTheme="minorEastAsia" w:cstheme="minorBidi"/>
              <w:sz w:val="21"/>
            </w:rPr>
          </w:pPr>
          <w:r>
            <w:fldChar w:fldCharType="begin"/>
          </w:r>
          <w:r>
            <w:instrText xml:space="preserve"> HYPERLINK \l "_Toc71036634" </w:instrText>
          </w:r>
          <w:r>
            <w:fldChar w:fldCharType="separate"/>
          </w:r>
          <w:r>
            <w:rPr>
              <w:rStyle w:val="26"/>
              <w:rFonts w:ascii="Times New Roman" w:hAnsi="Times New Roman" w:eastAsia="黑体"/>
            </w:rPr>
            <w:t xml:space="preserve">2 </w:t>
          </w:r>
          <w:r>
            <w:rPr>
              <w:rStyle w:val="26"/>
              <w:rFonts w:hint="eastAsia" w:ascii="Times New Roman" w:hAnsi="Times New Roman" w:eastAsia="黑体"/>
            </w:rPr>
            <w:t>指导思想与基本原则</w:t>
          </w:r>
          <w:r>
            <w:tab/>
          </w:r>
          <w:r>
            <w:fldChar w:fldCharType="begin"/>
          </w:r>
          <w:r>
            <w:instrText xml:space="preserve"> PAGEREF _Toc71036634 \h </w:instrText>
          </w:r>
          <w:r>
            <w:fldChar w:fldCharType="separate"/>
          </w:r>
          <w:r>
            <w:t>7</w:t>
          </w:r>
          <w:r>
            <w:fldChar w:fldCharType="end"/>
          </w:r>
          <w:r>
            <w:fldChar w:fldCharType="end"/>
          </w:r>
        </w:p>
        <w:p>
          <w:pPr>
            <w:pStyle w:val="20"/>
            <w:tabs>
              <w:tab w:val="right" w:leader="dot" w:pos="9062"/>
            </w:tabs>
            <w:ind w:left="480"/>
            <w:rPr>
              <w:rFonts w:asciiTheme="minorHAnsi" w:hAnsiTheme="minorHAnsi" w:eastAsiaTheme="minorEastAsia" w:cstheme="minorBidi"/>
              <w:sz w:val="21"/>
            </w:rPr>
          </w:pPr>
          <w:r>
            <w:fldChar w:fldCharType="begin"/>
          </w:r>
          <w:r>
            <w:instrText xml:space="preserve"> HYPERLINK \l "_Toc71036635" </w:instrText>
          </w:r>
          <w:r>
            <w:fldChar w:fldCharType="separate"/>
          </w:r>
          <w:r>
            <w:rPr>
              <w:rStyle w:val="26"/>
            </w:rPr>
            <w:t xml:space="preserve">2.1  </w:t>
          </w:r>
          <w:r>
            <w:rPr>
              <w:rStyle w:val="26"/>
              <w:rFonts w:hint="eastAsia"/>
            </w:rPr>
            <w:t>指导思想</w:t>
          </w:r>
          <w:r>
            <w:tab/>
          </w:r>
          <w:r>
            <w:fldChar w:fldCharType="begin"/>
          </w:r>
          <w:r>
            <w:instrText xml:space="preserve"> PAGEREF _Toc71036635 \h </w:instrText>
          </w:r>
          <w:r>
            <w:fldChar w:fldCharType="separate"/>
          </w:r>
          <w:r>
            <w:t>7</w:t>
          </w:r>
          <w:r>
            <w:fldChar w:fldCharType="end"/>
          </w:r>
          <w:r>
            <w:fldChar w:fldCharType="end"/>
          </w:r>
        </w:p>
        <w:p>
          <w:pPr>
            <w:pStyle w:val="20"/>
            <w:tabs>
              <w:tab w:val="right" w:leader="dot" w:pos="9062"/>
            </w:tabs>
            <w:ind w:left="480"/>
            <w:rPr>
              <w:rFonts w:asciiTheme="minorHAnsi" w:hAnsiTheme="minorHAnsi" w:eastAsiaTheme="minorEastAsia" w:cstheme="minorBidi"/>
              <w:sz w:val="21"/>
            </w:rPr>
          </w:pPr>
          <w:r>
            <w:fldChar w:fldCharType="begin"/>
          </w:r>
          <w:r>
            <w:instrText xml:space="preserve"> HYPERLINK \l "_Toc71036636" </w:instrText>
          </w:r>
          <w:r>
            <w:fldChar w:fldCharType="separate"/>
          </w:r>
          <w:r>
            <w:rPr>
              <w:rStyle w:val="26"/>
            </w:rPr>
            <w:t xml:space="preserve">2.2  </w:t>
          </w:r>
          <w:r>
            <w:rPr>
              <w:rStyle w:val="26"/>
              <w:rFonts w:hint="eastAsia"/>
            </w:rPr>
            <w:t>基本原则</w:t>
          </w:r>
          <w:r>
            <w:tab/>
          </w:r>
          <w:r>
            <w:fldChar w:fldCharType="begin"/>
          </w:r>
          <w:r>
            <w:instrText xml:space="preserve"> PAGEREF _Toc71036636 \h </w:instrText>
          </w:r>
          <w:r>
            <w:fldChar w:fldCharType="separate"/>
          </w:r>
          <w:r>
            <w:t>7</w:t>
          </w:r>
          <w:r>
            <w:fldChar w:fldCharType="end"/>
          </w:r>
          <w:r>
            <w:fldChar w:fldCharType="end"/>
          </w:r>
        </w:p>
        <w:p>
          <w:pPr>
            <w:pStyle w:val="16"/>
            <w:tabs>
              <w:tab w:val="right" w:leader="dot" w:pos="9062"/>
            </w:tabs>
            <w:rPr>
              <w:rFonts w:asciiTheme="minorHAnsi" w:hAnsiTheme="minorHAnsi" w:eastAsiaTheme="minorEastAsia" w:cstheme="minorBidi"/>
              <w:sz w:val="21"/>
            </w:rPr>
          </w:pPr>
          <w:r>
            <w:fldChar w:fldCharType="begin"/>
          </w:r>
          <w:r>
            <w:instrText xml:space="preserve"> HYPERLINK \l "_Toc71036637" </w:instrText>
          </w:r>
          <w:r>
            <w:fldChar w:fldCharType="separate"/>
          </w:r>
          <w:r>
            <w:rPr>
              <w:rStyle w:val="26"/>
              <w:rFonts w:ascii="Times New Roman" w:hAnsi="Times New Roman" w:eastAsia="黑体"/>
            </w:rPr>
            <w:t xml:space="preserve">3  </w:t>
          </w:r>
          <w:r>
            <w:rPr>
              <w:rStyle w:val="26"/>
              <w:rFonts w:hint="eastAsia" w:ascii="Times New Roman" w:hAnsi="Times New Roman" w:eastAsia="黑体"/>
            </w:rPr>
            <w:t>现状调查、评价与预测</w:t>
          </w:r>
          <w:r>
            <w:tab/>
          </w:r>
          <w:r>
            <w:fldChar w:fldCharType="begin"/>
          </w:r>
          <w:r>
            <w:instrText xml:space="preserve"> PAGEREF _Toc71036637 \h </w:instrText>
          </w:r>
          <w:r>
            <w:fldChar w:fldCharType="separate"/>
          </w:r>
          <w:r>
            <w:t>8</w:t>
          </w:r>
          <w:r>
            <w:fldChar w:fldCharType="end"/>
          </w:r>
          <w:r>
            <w:fldChar w:fldCharType="end"/>
          </w:r>
        </w:p>
        <w:p>
          <w:pPr>
            <w:pStyle w:val="20"/>
            <w:tabs>
              <w:tab w:val="right" w:leader="dot" w:pos="9062"/>
            </w:tabs>
            <w:ind w:left="480"/>
            <w:rPr>
              <w:rFonts w:asciiTheme="minorHAnsi" w:hAnsiTheme="minorHAnsi" w:eastAsiaTheme="minorEastAsia" w:cstheme="minorBidi"/>
              <w:sz w:val="21"/>
            </w:rPr>
          </w:pPr>
          <w:r>
            <w:fldChar w:fldCharType="begin"/>
          </w:r>
          <w:r>
            <w:instrText xml:space="preserve"> HYPERLINK \l "_Toc71036638" </w:instrText>
          </w:r>
          <w:r>
            <w:fldChar w:fldCharType="separate"/>
          </w:r>
          <w:r>
            <w:rPr>
              <w:rStyle w:val="26"/>
            </w:rPr>
            <w:t xml:space="preserve">3.1 </w:t>
          </w:r>
          <w:r>
            <w:rPr>
              <w:rStyle w:val="26"/>
              <w:rFonts w:hint="eastAsia"/>
            </w:rPr>
            <w:t>自然地理概况</w:t>
          </w:r>
          <w:r>
            <w:tab/>
          </w:r>
          <w:r>
            <w:fldChar w:fldCharType="begin"/>
          </w:r>
          <w:r>
            <w:instrText xml:space="preserve"> PAGEREF _Toc71036638 \h </w:instrText>
          </w:r>
          <w:r>
            <w:fldChar w:fldCharType="separate"/>
          </w:r>
          <w:r>
            <w:t>8</w:t>
          </w:r>
          <w:r>
            <w:fldChar w:fldCharType="end"/>
          </w:r>
          <w:r>
            <w:fldChar w:fldCharType="end"/>
          </w:r>
        </w:p>
        <w:p>
          <w:pPr>
            <w:pStyle w:val="9"/>
            <w:tabs>
              <w:tab w:val="right" w:leader="dot" w:pos="9062"/>
            </w:tabs>
            <w:ind w:left="960"/>
            <w:rPr>
              <w:rFonts w:asciiTheme="minorHAnsi" w:hAnsiTheme="minorHAnsi" w:eastAsiaTheme="minorEastAsia" w:cstheme="minorBidi"/>
              <w:sz w:val="21"/>
            </w:rPr>
          </w:pPr>
          <w:r>
            <w:fldChar w:fldCharType="begin"/>
          </w:r>
          <w:r>
            <w:instrText xml:space="preserve"> HYPERLINK \l "_Toc71036639" </w:instrText>
          </w:r>
          <w:r>
            <w:fldChar w:fldCharType="separate"/>
          </w:r>
          <w:r>
            <w:rPr>
              <w:rStyle w:val="26"/>
            </w:rPr>
            <w:t>3.1.1</w:t>
          </w:r>
          <w:r>
            <w:rPr>
              <w:rStyle w:val="26"/>
              <w:rFonts w:hint="eastAsia"/>
            </w:rPr>
            <w:t>矿区地理位置</w:t>
          </w:r>
          <w:r>
            <w:tab/>
          </w:r>
          <w:r>
            <w:fldChar w:fldCharType="begin"/>
          </w:r>
          <w:r>
            <w:instrText xml:space="preserve"> PAGEREF _Toc71036639 \h </w:instrText>
          </w:r>
          <w:r>
            <w:fldChar w:fldCharType="separate"/>
          </w:r>
          <w:r>
            <w:t>8</w:t>
          </w:r>
          <w:r>
            <w:fldChar w:fldCharType="end"/>
          </w:r>
          <w:r>
            <w:fldChar w:fldCharType="end"/>
          </w:r>
        </w:p>
        <w:p>
          <w:pPr>
            <w:pStyle w:val="9"/>
            <w:tabs>
              <w:tab w:val="right" w:leader="dot" w:pos="9062"/>
            </w:tabs>
            <w:ind w:left="960"/>
            <w:rPr>
              <w:rFonts w:asciiTheme="minorHAnsi" w:hAnsiTheme="minorHAnsi" w:eastAsiaTheme="minorEastAsia" w:cstheme="minorBidi"/>
              <w:sz w:val="21"/>
            </w:rPr>
          </w:pPr>
          <w:r>
            <w:fldChar w:fldCharType="begin"/>
          </w:r>
          <w:r>
            <w:instrText xml:space="preserve"> HYPERLINK \l "_Toc71036640" </w:instrText>
          </w:r>
          <w:r>
            <w:fldChar w:fldCharType="separate"/>
          </w:r>
          <w:r>
            <w:rPr>
              <w:rStyle w:val="26"/>
            </w:rPr>
            <w:t>3.1.2</w:t>
          </w:r>
          <w:r>
            <w:rPr>
              <w:rStyle w:val="26"/>
              <w:rFonts w:hint="eastAsia"/>
            </w:rPr>
            <w:t>地形地貌</w:t>
          </w:r>
          <w:r>
            <w:tab/>
          </w:r>
          <w:r>
            <w:fldChar w:fldCharType="begin"/>
          </w:r>
          <w:r>
            <w:instrText xml:space="preserve"> PAGEREF _Toc71036640 \h </w:instrText>
          </w:r>
          <w:r>
            <w:fldChar w:fldCharType="separate"/>
          </w:r>
          <w:r>
            <w:t>11</w:t>
          </w:r>
          <w:r>
            <w:fldChar w:fldCharType="end"/>
          </w:r>
          <w:r>
            <w:fldChar w:fldCharType="end"/>
          </w:r>
        </w:p>
        <w:p>
          <w:pPr>
            <w:pStyle w:val="9"/>
            <w:tabs>
              <w:tab w:val="right" w:leader="dot" w:pos="9062"/>
            </w:tabs>
            <w:ind w:left="960"/>
            <w:rPr>
              <w:rFonts w:asciiTheme="minorHAnsi" w:hAnsiTheme="minorHAnsi" w:eastAsiaTheme="minorEastAsia" w:cstheme="minorBidi"/>
              <w:sz w:val="21"/>
            </w:rPr>
          </w:pPr>
          <w:r>
            <w:fldChar w:fldCharType="begin"/>
          </w:r>
          <w:r>
            <w:instrText xml:space="preserve"> HYPERLINK \l "_Toc71036641" </w:instrText>
          </w:r>
          <w:r>
            <w:fldChar w:fldCharType="separate"/>
          </w:r>
          <w:r>
            <w:rPr>
              <w:rStyle w:val="26"/>
            </w:rPr>
            <w:t>3.1.3</w:t>
          </w:r>
          <w:r>
            <w:rPr>
              <w:rStyle w:val="26"/>
              <w:rFonts w:hint="eastAsia"/>
            </w:rPr>
            <w:t>矿区地质概况</w:t>
          </w:r>
          <w:r>
            <w:tab/>
          </w:r>
          <w:r>
            <w:fldChar w:fldCharType="begin"/>
          </w:r>
          <w:r>
            <w:instrText xml:space="preserve"> PAGEREF _Toc71036641 \h </w:instrText>
          </w:r>
          <w:r>
            <w:fldChar w:fldCharType="separate"/>
          </w:r>
          <w:r>
            <w:t>12</w:t>
          </w:r>
          <w:r>
            <w:fldChar w:fldCharType="end"/>
          </w:r>
          <w:r>
            <w:fldChar w:fldCharType="end"/>
          </w:r>
        </w:p>
        <w:p>
          <w:pPr>
            <w:pStyle w:val="9"/>
            <w:tabs>
              <w:tab w:val="right" w:leader="dot" w:pos="9062"/>
            </w:tabs>
            <w:ind w:left="960"/>
            <w:rPr>
              <w:rFonts w:asciiTheme="minorHAnsi" w:hAnsiTheme="minorHAnsi" w:eastAsiaTheme="minorEastAsia" w:cstheme="minorBidi"/>
              <w:sz w:val="21"/>
            </w:rPr>
          </w:pPr>
          <w:r>
            <w:fldChar w:fldCharType="begin"/>
          </w:r>
          <w:r>
            <w:instrText xml:space="preserve"> HYPERLINK \l "_Toc71036642" </w:instrText>
          </w:r>
          <w:r>
            <w:fldChar w:fldCharType="separate"/>
          </w:r>
          <w:r>
            <w:rPr>
              <w:rStyle w:val="26"/>
            </w:rPr>
            <w:t xml:space="preserve">3.1.5 </w:t>
          </w:r>
          <w:r>
            <w:rPr>
              <w:rStyle w:val="26"/>
              <w:rFonts w:hint="eastAsia"/>
            </w:rPr>
            <w:t>气象、水文</w:t>
          </w:r>
          <w:r>
            <w:tab/>
          </w:r>
          <w:r>
            <w:fldChar w:fldCharType="begin"/>
          </w:r>
          <w:r>
            <w:instrText xml:space="preserve"> PAGEREF _Toc71036642 \h </w:instrText>
          </w:r>
          <w:r>
            <w:fldChar w:fldCharType="separate"/>
          </w:r>
          <w:r>
            <w:t>13</w:t>
          </w:r>
          <w:r>
            <w:fldChar w:fldCharType="end"/>
          </w:r>
          <w:r>
            <w:fldChar w:fldCharType="end"/>
          </w:r>
        </w:p>
        <w:p>
          <w:pPr>
            <w:pStyle w:val="9"/>
            <w:tabs>
              <w:tab w:val="right" w:leader="dot" w:pos="9062"/>
            </w:tabs>
            <w:ind w:left="960"/>
            <w:rPr>
              <w:rFonts w:asciiTheme="minorHAnsi" w:hAnsiTheme="minorHAnsi" w:eastAsiaTheme="minorEastAsia" w:cstheme="minorBidi"/>
              <w:sz w:val="21"/>
            </w:rPr>
          </w:pPr>
          <w:r>
            <w:fldChar w:fldCharType="begin"/>
          </w:r>
          <w:r>
            <w:instrText xml:space="preserve"> HYPERLINK \l "_Toc71036643" </w:instrText>
          </w:r>
          <w:r>
            <w:fldChar w:fldCharType="separate"/>
          </w:r>
          <w:r>
            <w:rPr>
              <w:rStyle w:val="26"/>
            </w:rPr>
            <w:t xml:space="preserve">3.1.6 </w:t>
          </w:r>
          <w:r>
            <w:rPr>
              <w:rStyle w:val="26"/>
              <w:rFonts w:hint="eastAsia"/>
            </w:rPr>
            <w:t>地表水</w:t>
          </w:r>
          <w:r>
            <w:tab/>
          </w:r>
          <w:r>
            <w:fldChar w:fldCharType="begin"/>
          </w:r>
          <w:r>
            <w:instrText xml:space="preserve"> PAGEREF _Toc71036643 \h </w:instrText>
          </w:r>
          <w:r>
            <w:fldChar w:fldCharType="separate"/>
          </w:r>
          <w:r>
            <w:t>15</w:t>
          </w:r>
          <w:r>
            <w:fldChar w:fldCharType="end"/>
          </w:r>
          <w:r>
            <w:fldChar w:fldCharType="end"/>
          </w:r>
        </w:p>
        <w:p>
          <w:pPr>
            <w:pStyle w:val="9"/>
            <w:tabs>
              <w:tab w:val="right" w:leader="dot" w:pos="9062"/>
            </w:tabs>
            <w:ind w:left="960"/>
            <w:rPr>
              <w:rFonts w:asciiTheme="minorHAnsi" w:hAnsiTheme="minorHAnsi" w:eastAsiaTheme="minorEastAsia" w:cstheme="minorBidi"/>
              <w:sz w:val="21"/>
            </w:rPr>
          </w:pPr>
          <w:r>
            <w:fldChar w:fldCharType="begin"/>
          </w:r>
          <w:r>
            <w:instrText xml:space="preserve"> HYPERLINK \l "_Toc71036644" </w:instrText>
          </w:r>
          <w:r>
            <w:fldChar w:fldCharType="separate"/>
          </w:r>
          <w:r>
            <w:rPr>
              <w:rStyle w:val="26"/>
            </w:rPr>
            <w:t xml:space="preserve">3.1.7 </w:t>
          </w:r>
          <w:r>
            <w:rPr>
              <w:rStyle w:val="26"/>
              <w:rFonts w:hint="eastAsia"/>
            </w:rPr>
            <w:t>土壤植被</w:t>
          </w:r>
          <w:r>
            <w:tab/>
          </w:r>
          <w:r>
            <w:fldChar w:fldCharType="begin"/>
          </w:r>
          <w:r>
            <w:instrText xml:space="preserve"> PAGEREF _Toc71036644 \h </w:instrText>
          </w:r>
          <w:r>
            <w:fldChar w:fldCharType="separate"/>
          </w:r>
          <w:r>
            <w:t>15</w:t>
          </w:r>
          <w:r>
            <w:fldChar w:fldCharType="end"/>
          </w:r>
          <w:r>
            <w:fldChar w:fldCharType="end"/>
          </w:r>
        </w:p>
        <w:p>
          <w:pPr>
            <w:pStyle w:val="9"/>
            <w:tabs>
              <w:tab w:val="right" w:leader="dot" w:pos="9062"/>
            </w:tabs>
            <w:ind w:left="960"/>
            <w:rPr>
              <w:rFonts w:asciiTheme="minorHAnsi" w:hAnsiTheme="minorHAnsi" w:eastAsiaTheme="minorEastAsia" w:cstheme="minorBidi"/>
              <w:sz w:val="21"/>
            </w:rPr>
          </w:pPr>
          <w:r>
            <w:fldChar w:fldCharType="begin"/>
          </w:r>
          <w:r>
            <w:instrText xml:space="preserve"> HYPERLINK \l "_Toc71036645" </w:instrText>
          </w:r>
          <w:r>
            <w:fldChar w:fldCharType="separate"/>
          </w:r>
          <w:r>
            <w:rPr>
              <w:rStyle w:val="26"/>
            </w:rPr>
            <w:t xml:space="preserve">3.1.8 </w:t>
          </w:r>
          <w:r>
            <w:rPr>
              <w:rStyle w:val="26"/>
              <w:rFonts w:hint="eastAsia"/>
            </w:rPr>
            <w:t>矿区周围敏感因素</w:t>
          </w:r>
          <w:r>
            <w:tab/>
          </w:r>
          <w:r>
            <w:fldChar w:fldCharType="begin"/>
          </w:r>
          <w:r>
            <w:instrText xml:space="preserve"> PAGEREF _Toc71036645 \h </w:instrText>
          </w:r>
          <w:r>
            <w:fldChar w:fldCharType="separate"/>
          </w:r>
          <w:r>
            <w:t>15</w:t>
          </w:r>
          <w:r>
            <w:fldChar w:fldCharType="end"/>
          </w:r>
          <w:r>
            <w:fldChar w:fldCharType="end"/>
          </w:r>
        </w:p>
        <w:p>
          <w:pPr>
            <w:pStyle w:val="9"/>
            <w:tabs>
              <w:tab w:val="right" w:leader="dot" w:pos="9062"/>
            </w:tabs>
            <w:ind w:left="960"/>
            <w:rPr>
              <w:rFonts w:asciiTheme="minorHAnsi" w:hAnsiTheme="minorHAnsi" w:eastAsiaTheme="minorEastAsia" w:cstheme="minorBidi"/>
              <w:sz w:val="21"/>
            </w:rPr>
          </w:pPr>
          <w:r>
            <w:fldChar w:fldCharType="begin"/>
          </w:r>
          <w:r>
            <w:instrText xml:space="preserve"> HYPERLINK \l "_Toc71036646" </w:instrText>
          </w:r>
          <w:r>
            <w:fldChar w:fldCharType="separate"/>
          </w:r>
          <w:r>
            <w:rPr>
              <w:rStyle w:val="26"/>
            </w:rPr>
            <w:t>3.1.9</w:t>
          </w:r>
          <w:r>
            <w:rPr>
              <w:rStyle w:val="26"/>
              <w:rFonts w:hint="eastAsia"/>
            </w:rPr>
            <w:t>矿区环境质量现状</w:t>
          </w:r>
          <w:r>
            <w:tab/>
          </w:r>
          <w:r>
            <w:fldChar w:fldCharType="begin"/>
          </w:r>
          <w:r>
            <w:instrText xml:space="preserve"> PAGEREF _Toc71036646 \h </w:instrText>
          </w:r>
          <w:r>
            <w:fldChar w:fldCharType="separate"/>
          </w:r>
          <w:r>
            <w:t>16</w:t>
          </w:r>
          <w:r>
            <w:fldChar w:fldCharType="end"/>
          </w:r>
          <w:r>
            <w:fldChar w:fldCharType="end"/>
          </w:r>
        </w:p>
        <w:p>
          <w:pPr>
            <w:pStyle w:val="20"/>
            <w:tabs>
              <w:tab w:val="right" w:leader="dot" w:pos="9062"/>
            </w:tabs>
            <w:ind w:left="480"/>
            <w:rPr>
              <w:rFonts w:asciiTheme="minorHAnsi" w:hAnsiTheme="minorHAnsi" w:eastAsiaTheme="minorEastAsia" w:cstheme="minorBidi"/>
              <w:sz w:val="21"/>
            </w:rPr>
          </w:pPr>
          <w:r>
            <w:fldChar w:fldCharType="begin"/>
          </w:r>
          <w:r>
            <w:instrText xml:space="preserve"> HYPERLINK \l "_Toc71036647" </w:instrText>
          </w:r>
          <w:r>
            <w:fldChar w:fldCharType="separate"/>
          </w:r>
          <w:r>
            <w:rPr>
              <w:rStyle w:val="26"/>
            </w:rPr>
            <w:t xml:space="preserve">3.2 </w:t>
          </w:r>
          <w:r>
            <w:rPr>
              <w:rStyle w:val="26"/>
              <w:rFonts w:hint="eastAsia"/>
            </w:rPr>
            <w:t>矿产资源开发状况</w:t>
          </w:r>
          <w:r>
            <w:tab/>
          </w:r>
          <w:r>
            <w:fldChar w:fldCharType="begin"/>
          </w:r>
          <w:r>
            <w:instrText xml:space="preserve"> PAGEREF _Toc71036647 \h </w:instrText>
          </w:r>
          <w:r>
            <w:fldChar w:fldCharType="separate"/>
          </w:r>
          <w:r>
            <w:t>16</w:t>
          </w:r>
          <w:r>
            <w:fldChar w:fldCharType="end"/>
          </w:r>
          <w:r>
            <w:fldChar w:fldCharType="end"/>
          </w:r>
        </w:p>
        <w:p>
          <w:pPr>
            <w:pStyle w:val="9"/>
            <w:tabs>
              <w:tab w:val="right" w:leader="dot" w:pos="9062"/>
            </w:tabs>
            <w:ind w:left="960"/>
            <w:rPr>
              <w:rFonts w:asciiTheme="minorHAnsi" w:hAnsiTheme="minorHAnsi" w:eastAsiaTheme="minorEastAsia" w:cstheme="minorBidi"/>
              <w:sz w:val="21"/>
            </w:rPr>
          </w:pPr>
          <w:r>
            <w:fldChar w:fldCharType="begin"/>
          </w:r>
          <w:r>
            <w:instrText xml:space="preserve"> HYPERLINK \l "_Toc71036648" </w:instrText>
          </w:r>
          <w:r>
            <w:fldChar w:fldCharType="separate"/>
          </w:r>
          <w:r>
            <w:rPr>
              <w:rStyle w:val="26"/>
            </w:rPr>
            <w:t xml:space="preserve">3.2.1 </w:t>
          </w:r>
          <w:r>
            <w:rPr>
              <w:rStyle w:val="26"/>
              <w:rFonts w:hint="eastAsia"/>
            </w:rPr>
            <w:t>矿产资源开发利用方案</w:t>
          </w:r>
          <w:r>
            <w:tab/>
          </w:r>
          <w:r>
            <w:fldChar w:fldCharType="begin"/>
          </w:r>
          <w:r>
            <w:instrText xml:space="preserve"> PAGEREF _Toc71036648 \h </w:instrText>
          </w:r>
          <w:r>
            <w:fldChar w:fldCharType="separate"/>
          </w:r>
          <w:r>
            <w:t>16</w:t>
          </w:r>
          <w:r>
            <w:fldChar w:fldCharType="end"/>
          </w:r>
          <w:r>
            <w:fldChar w:fldCharType="end"/>
          </w:r>
        </w:p>
        <w:p>
          <w:pPr>
            <w:pStyle w:val="9"/>
            <w:tabs>
              <w:tab w:val="right" w:leader="dot" w:pos="9062"/>
            </w:tabs>
            <w:ind w:left="960"/>
            <w:rPr>
              <w:rFonts w:asciiTheme="minorHAnsi" w:hAnsiTheme="minorHAnsi" w:eastAsiaTheme="minorEastAsia" w:cstheme="minorBidi"/>
              <w:sz w:val="21"/>
            </w:rPr>
          </w:pPr>
          <w:r>
            <w:fldChar w:fldCharType="begin"/>
          </w:r>
          <w:r>
            <w:instrText xml:space="preserve"> HYPERLINK \l "_Toc71036649" </w:instrText>
          </w:r>
          <w:r>
            <w:fldChar w:fldCharType="separate"/>
          </w:r>
          <w:r>
            <w:rPr>
              <w:rStyle w:val="26"/>
            </w:rPr>
            <w:t xml:space="preserve">3.2.2 </w:t>
          </w:r>
          <w:r>
            <w:rPr>
              <w:rStyle w:val="26"/>
              <w:rFonts w:hint="eastAsia"/>
            </w:rPr>
            <w:t>矿山储量及设计能力</w:t>
          </w:r>
          <w:r>
            <w:tab/>
          </w:r>
          <w:r>
            <w:fldChar w:fldCharType="begin"/>
          </w:r>
          <w:r>
            <w:instrText xml:space="preserve"> PAGEREF _Toc71036649 \h </w:instrText>
          </w:r>
          <w:r>
            <w:fldChar w:fldCharType="separate"/>
          </w:r>
          <w:r>
            <w:t>16</w:t>
          </w:r>
          <w:r>
            <w:fldChar w:fldCharType="end"/>
          </w:r>
          <w:r>
            <w:fldChar w:fldCharType="end"/>
          </w:r>
        </w:p>
        <w:p>
          <w:pPr>
            <w:pStyle w:val="9"/>
            <w:tabs>
              <w:tab w:val="right" w:leader="dot" w:pos="9062"/>
            </w:tabs>
            <w:ind w:left="960"/>
            <w:rPr>
              <w:rFonts w:asciiTheme="minorHAnsi" w:hAnsiTheme="minorHAnsi" w:eastAsiaTheme="minorEastAsia" w:cstheme="minorBidi"/>
              <w:sz w:val="21"/>
            </w:rPr>
          </w:pPr>
          <w:r>
            <w:fldChar w:fldCharType="begin"/>
          </w:r>
          <w:r>
            <w:instrText xml:space="preserve"> HYPERLINK \l "_Toc71036650" </w:instrText>
          </w:r>
          <w:r>
            <w:fldChar w:fldCharType="separate"/>
          </w:r>
          <w:r>
            <w:rPr>
              <w:rStyle w:val="26"/>
            </w:rPr>
            <w:t xml:space="preserve">3.2. 4 </w:t>
          </w:r>
          <w:r>
            <w:rPr>
              <w:rStyle w:val="26"/>
              <w:rFonts w:hint="eastAsia"/>
            </w:rPr>
            <w:t>矿山采矿方法</w:t>
          </w:r>
          <w:r>
            <w:tab/>
          </w:r>
          <w:r>
            <w:fldChar w:fldCharType="begin"/>
          </w:r>
          <w:r>
            <w:instrText xml:space="preserve"> PAGEREF _Toc71036650 \h </w:instrText>
          </w:r>
          <w:r>
            <w:fldChar w:fldCharType="separate"/>
          </w:r>
          <w:r>
            <w:t>16</w:t>
          </w:r>
          <w:r>
            <w:fldChar w:fldCharType="end"/>
          </w:r>
          <w:r>
            <w:fldChar w:fldCharType="end"/>
          </w:r>
        </w:p>
        <w:p>
          <w:pPr>
            <w:pStyle w:val="9"/>
            <w:tabs>
              <w:tab w:val="right" w:leader="dot" w:pos="9062"/>
            </w:tabs>
            <w:ind w:left="960"/>
            <w:rPr>
              <w:rFonts w:asciiTheme="minorHAnsi" w:hAnsiTheme="minorHAnsi" w:eastAsiaTheme="minorEastAsia" w:cstheme="minorBidi"/>
              <w:sz w:val="21"/>
            </w:rPr>
          </w:pPr>
          <w:r>
            <w:fldChar w:fldCharType="begin"/>
          </w:r>
          <w:r>
            <w:instrText xml:space="preserve"> HYPERLINK \l "_Toc71036651" </w:instrText>
          </w:r>
          <w:r>
            <w:fldChar w:fldCharType="separate"/>
          </w:r>
          <w:r>
            <w:rPr>
              <w:rStyle w:val="26"/>
            </w:rPr>
            <w:t>3.2.5</w:t>
          </w:r>
          <w:r>
            <w:rPr>
              <w:rStyle w:val="26"/>
              <w:rFonts w:hint="eastAsia"/>
            </w:rPr>
            <w:t>上一轮矿山生态环境保护与恢复治理方案完成情况</w:t>
          </w:r>
          <w:r>
            <w:tab/>
          </w:r>
          <w:r>
            <w:fldChar w:fldCharType="begin"/>
          </w:r>
          <w:r>
            <w:instrText xml:space="preserve"> PAGEREF _Toc71036651 \h </w:instrText>
          </w:r>
          <w:r>
            <w:fldChar w:fldCharType="separate"/>
          </w:r>
          <w:r>
            <w:t>17</w:t>
          </w:r>
          <w:r>
            <w:fldChar w:fldCharType="end"/>
          </w:r>
          <w:r>
            <w:fldChar w:fldCharType="end"/>
          </w:r>
        </w:p>
        <w:p>
          <w:pPr>
            <w:pStyle w:val="20"/>
            <w:tabs>
              <w:tab w:val="right" w:leader="dot" w:pos="9062"/>
            </w:tabs>
            <w:ind w:left="480"/>
            <w:rPr>
              <w:rFonts w:asciiTheme="minorHAnsi" w:hAnsiTheme="minorHAnsi" w:eastAsiaTheme="minorEastAsia" w:cstheme="minorBidi"/>
              <w:sz w:val="21"/>
            </w:rPr>
          </w:pPr>
          <w:r>
            <w:fldChar w:fldCharType="begin"/>
          </w:r>
          <w:r>
            <w:instrText xml:space="preserve"> HYPERLINK \l "_Toc71036652" </w:instrText>
          </w:r>
          <w:r>
            <w:fldChar w:fldCharType="separate"/>
          </w:r>
          <w:r>
            <w:rPr>
              <w:rStyle w:val="26"/>
            </w:rPr>
            <w:t xml:space="preserve">3.3 </w:t>
          </w:r>
          <w:r>
            <w:rPr>
              <w:rStyle w:val="26"/>
              <w:rFonts w:hint="eastAsia"/>
            </w:rPr>
            <w:t>矿山环境污染与生态破坏状况</w:t>
          </w:r>
          <w:r>
            <w:tab/>
          </w:r>
          <w:r>
            <w:fldChar w:fldCharType="begin"/>
          </w:r>
          <w:r>
            <w:instrText xml:space="preserve"> PAGEREF _Toc71036652 \h </w:instrText>
          </w:r>
          <w:r>
            <w:fldChar w:fldCharType="separate"/>
          </w:r>
          <w:r>
            <w:t>17</w:t>
          </w:r>
          <w:r>
            <w:fldChar w:fldCharType="end"/>
          </w:r>
          <w:r>
            <w:fldChar w:fldCharType="end"/>
          </w:r>
        </w:p>
        <w:p>
          <w:pPr>
            <w:pStyle w:val="9"/>
            <w:tabs>
              <w:tab w:val="right" w:leader="dot" w:pos="9062"/>
            </w:tabs>
            <w:ind w:left="960"/>
            <w:rPr>
              <w:rFonts w:asciiTheme="minorHAnsi" w:hAnsiTheme="minorHAnsi" w:eastAsiaTheme="minorEastAsia" w:cstheme="minorBidi"/>
              <w:sz w:val="21"/>
            </w:rPr>
          </w:pPr>
          <w:r>
            <w:fldChar w:fldCharType="begin"/>
          </w:r>
          <w:r>
            <w:instrText xml:space="preserve"> HYPERLINK \l "_Toc71036653" </w:instrText>
          </w:r>
          <w:r>
            <w:fldChar w:fldCharType="separate"/>
          </w:r>
          <w:r>
            <w:rPr>
              <w:rStyle w:val="26"/>
            </w:rPr>
            <w:t xml:space="preserve">3.3.1 </w:t>
          </w:r>
          <w:r>
            <w:rPr>
              <w:rStyle w:val="26"/>
              <w:rFonts w:hint="eastAsia"/>
            </w:rPr>
            <w:t>调查目的及范围</w:t>
          </w:r>
          <w:r>
            <w:tab/>
          </w:r>
          <w:r>
            <w:fldChar w:fldCharType="begin"/>
          </w:r>
          <w:r>
            <w:instrText xml:space="preserve"> PAGEREF _Toc71036653 \h </w:instrText>
          </w:r>
          <w:r>
            <w:fldChar w:fldCharType="separate"/>
          </w:r>
          <w:r>
            <w:t>17</w:t>
          </w:r>
          <w:r>
            <w:fldChar w:fldCharType="end"/>
          </w:r>
          <w:r>
            <w:fldChar w:fldCharType="end"/>
          </w:r>
        </w:p>
        <w:p>
          <w:pPr>
            <w:pStyle w:val="9"/>
            <w:tabs>
              <w:tab w:val="right" w:leader="dot" w:pos="9062"/>
            </w:tabs>
            <w:ind w:left="960"/>
            <w:rPr>
              <w:rFonts w:asciiTheme="minorHAnsi" w:hAnsiTheme="minorHAnsi" w:eastAsiaTheme="minorEastAsia" w:cstheme="minorBidi"/>
              <w:sz w:val="21"/>
            </w:rPr>
          </w:pPr>
          <w:r>
            <w:fldChar w:fldCharType="begin"/>
          </w:r>
          <w:r>
            <w:instrText xml:space="preserve"> HYPERLINK \l "_Toc71036654" </w:instrText>
          </w:r>
          <w:r>
            <w:fldChar w:fldCharType="separate"/>
          </w:r>
          <w:r>
            <w:rPr>
              <w:rStyle w:val="26"/>
            </w:rPr>
            <w:t>3.3.2</w:t>
          </w:r>
          <w:r>
            <w:rPr>
              <w:rStyle w:val="26"/>
              <w:rFonts w:hint="eastAsia"/>
            </w:rPr>
            <w:t>调查内容及方法</w:t>
          </w:r>
          <w:r>
            <w:tab/>
          </w:r>
          <w:r>
            <w:fldChar w:fldCharType="begin"/>
          </w:r>
          <w:r>
            <w:instrText xml:space="preserve"> PAGEREF _Toc71036654 \h </w:instrText>
          </w:r>
          <w:r>
            <w:fldChar w:fldCharType="separate"/>
          </w:r>
          <w:r>
            <w:t>17</w:t>
          </w:r>
          <w:r>
            <w:fldChar w:fldCharType="end"/>
          </w:r>
          <w:r>
            <w:fldChar w:fldCharType="end"/>
          </w:r>
        </w:p>
        <w:p>
          <w:pPr>
            <w:pStyle w:val="9"/>
            <w:tabs>
              <w:tab w:val="right" w:leader="dot" w:pos="9062"/>
            </w:tabs>
            <w:ind w:left="960"/>
            <w:rPr>
              <w:rFonts w:asciiTheme="minorHAnsi" w:hAnsiTheme="minorHAnsi" w:eastAsiaTheme="minorEastAsia" w:cstheme="minorBidi"/>
              <w:sz w:val="21"/>
            </w:rPr>
          </w:pPr>
          <w:r>
            <w:fldChar w:fldCharType="begin"/>
          </w:r>
          <w:r>
            <w:instrText xml:space="preserve"> HYPERLINK \l "_Toc71036655" </w:instrText>
          </w:r>
          <w:r>
            <w:fldChar w:fldCharType="separate"/>
          </w:r>
          <w:r>
            <w:rPr>
              <w:rStyle w:val="26"/>
            </w:rPr>
            <w:t xml:space="preserve">3.3.3 </w:t>
          </w:r>
          <w:r>
            <w:rPr>
              <w:rStyle w:val="26"/>
              <w:rFonts w:hint="eastAsia"/>
            </w:rPr>
            <w:t>调查结果与评价</w:t>
          </w:r>
          <w:r>
            <w:tab/>
          </w:r>
          <w:r>
            <w:fldChar w:fldCharType="begin"/>
          </w:r>
          <w:r>
            <w:instrText xml:space="preserve"> PAGEREF _Toc71036655 \h </w:instrText>
          </w:r>
          <w:r>
            <w:fldChar w:fldCharType="separate"/>
          </w:r>
          <w:r>
            <w:t>18</w:t>
          </w:r>
          <w:r>
            <w:fldChar w:fldCharType="end"/>
          </w:r>
          <w:r>
            <w:fldChar w:fldCharType="end"/>
          </w:r>
        </w:p>
        <w:p>
          <w:pPr>
            <w:pStyle w:val="9"/>
            <w:tabs>
              <w:tab w:val="right" w:leader="dot" w:pos="9062"/>
            </w:tabs>
            <w:ind w:left="960"/>
            <w:rPr>
              <w:rFonts w:asciiTheme="minorHAnsi" w:hAnsiTheme="minorHAnsi" w:eastAsiaTheme="minorEastAsia" w:cstheme="minorBidi"/>
              <w:sz w:val="21"/>
            </w:rPr>
          </w:pPr>
          <w:r>
            <w:fldChar w:fldCharType="begin"/>
          </w:r>
          <w:r>
            <w:instrText xml:space="preserve"> HYPERLINK \l "_Toc71036656" </w:instrText>
          </w:r>
          <w:r>
            <w:fldChar w:fldCharType="separate"/>
          </w:r>
          <w:r>
            <w:rPr>
              <w:rStyle w:val="26"/>
            </w:rPr>
            <w:t xml:space="preserve">3.3.4 </w:t>
          </w:r>
          <w:r>
            <w:rPr>
              <w:rStyle w:val="26"/>
              <w:rFonts w:hint="eastAsia"/>
            </w:rPr>
            <w:t>水土流失调查</w:t>
          </w:r>
          <w:r>
            <w:tab/>
          </w:r>
          <w:r>
            <w:fldChar w:fldCharType="begin"/>
          </w:r>
          <w:r>
            <w:instrText xml:space="preserve"> PAGEREF _Toc71036656 \h </w:instrText>
          </w:r>
          <w:r>
            <w:fldChar w:fldCharType="separate"/>
          </w:r>
          <w:r>
            <w:t>23</w:t>
          </w:r>
          <w:r>
            <w:fldChar w:fldCharType="end"/>
          </w:r>
          <w:r>
            <w:fldChar w:fldCharType="end"/>
          </w:r>
        </w:p>
        <w:p>
          <w:pPr>
            <w:pStyle w:val="9"/>
            <w:tabs>
              <w:tab w:val="right" w:leader="dot" w:pos="9062"/>
            </w:tabs>
            <w:ind w:left="960"/>
            <w:rPr>
              <w:rFonts w:asciiTheme="minorHAnsi" w:hAnsiTheme="minorHAnsi" w:eastAsiaTheme="minorEastAsia" w:cstheme="minorBidi"/>
              <w:sz w:val="21"/>
            </w:rPr>
          </w:pPr>
          <w:r>
            <w:fldChar w:fldCharType="begin"/>
          </w:r>
          <w:r>
            <w:instrText xml:space="preserve"> HYPERLINK \l "_Toc71036657" </w:instrText>
          </w:r>
          <w:r>
            <w:fldChar w:fldCharType="separate"/>
          </w:r>
          <w:r>
            <w:rPr>
              <w:rStyle w:val="26"/>
            </w:rPr>
            <w:t xml:space="preserve">3.3.5 </w:t>
          </w:r>
          <w:r>
            <w:rPr>
              <w:rStyle w:val="26"/>
              <w:rFonts w:hint="eastAsia"/>
            </w:rPr>
            <w:t>环境污染调查</w:t>
          </w:r>
          <w:r>
            <w:tab/>
          </w:r>
          <w:r>
            <w:fldChar w:fldCharType="begin"/>
          </w:r>
          <w:r>
            <w:instrText xml:space="preserve"> PAGEREF _Toc71036657 \h </w:instrText>
          </w:r>
          <w:r>
            <w:fldChar w:fldCharType="separate"/>
          </w:r>
          <w:r>
            <w:t>27</w:t>
          </w:r>
          <w:r>
            <w:fldChar w:fldCharType="end"/>
          </w:r>
          <w:r>
            <w:fldChar w:fldCharType="end"/>
          </w:r>
        </w:p>
        <w:p>
          <w:pPr>
            <w:pStyle w:val="9"/>
            <w:tabs>
              <w:tab w:val="right" w:leader="dot" w:pos="9062"/>
            </w:tabs>
            <w:ind w:left="960"/>
            <w:rPr>
              <w:rFonts w:asciiTheme="minorHAnsi" w:hAnsiTheme="minorHAnsi" w:eastAsiaTheme="minorEastAsia" w:cstheme="minorBidi"/>
              <w:sz w:val="21"/>
            </w:rPr>
          </w:pPr>
          <w:r>
            <w:fldChar w:fldCharType="begin"/>
          </w:r>
          <w:r>
            <w:instrText xml:space="preserve"> HYPERLINK \l "_Toc71036658" </w:instrText>
          </w:r>
          <w:r>
            <w:fldChar w:fldCharType="separate"/>
          </w:r>
          <w:r>
            <w:rPr>
              <w:rStyle w:val="26"/>
            </w:rPr>
            <w:t xml:space="preserve">3.3.6 </w:t>
          </w:r>
          <w:r>
            <w:rPr>
              <w:rStyle w:val="26"/>
              <w:rFonts w:hint="eastAsia"/>
            </w:rPr>
            <w:t>地质灾害现状调查</w:t>
          </w:r>
          <w:r>
            <w:tab/>
          </w:r>
          <w:r>
            <w:fldChar w:fldCharType="begin"/>
          </w:r>
          <w:r>
            <w:instrText xml:space="preserve"> PAGEREF _Toc71036658 \h </w:instrText>
          </w:r>
          <w:r>
            <w:fldChar w:fldCharType="separate"/>
          </w:r>
          <w:r>
            <w:t>28</w:t>
          </w:r>
          <w:r>
            <w:fldChar w:fldCharType="end"/>
          </w:r>
          <w:r>
            <w:fldChar w:fldCharType="end"/>
          </w:r>
        </w:p>
        <w:p>
          <w:pPr>
            <w:pStyle w:val="9"/>
            <w:tabs>
              <w:tab w:val="right" w:leader="dot" w:pos="9062"/>
            </w:tabs>
            <w:ind w:left="960"/>
            <w:rPr>
              <w:rFonts w:asciiTheme="minorHAnsi" w:hAnsiTheme="minorHAnsi" w:eastAsiaTheme="minorEastAsia" w:cstheme="minorBidi"/>
              <w:sz w:val="21"/>
            </w:rPr>
          </w:pPr>
          <w:r>
            <w:fldChar w:fldCharType="begin"/>
          </w:r>
          <w:r>
            <w:instrText xml:space="preserve"> HYPERLINK \l "_Toc71036659" </w:instrText>
          </w:r>
          <w:r>
            <w:fldChar w:fldCharType="separate"/>
          </w:r>
          <w:r>
            <w:rPr>
              <w:rStyle w:val="26"/>
            </w:rPr>
            <w:t>3.3.7</w:t>
          </w:r>
          <w:r>
            <w:rPr>
              <w:rStyle w:val="26"/>
              <w:rFonts w:hint="eastAsia"/>
            </w:rPr>
            <w:t>环保措施及落实情况</w:t>
          </w:r>
          <w:r>
            <w:tab/>
          </w:r>
          <w:r>
            <w:fldChar w:fldCharType="begin"/>
          </w:r>
          <w:r>
            <w:instrText xml:space="preserve"> PAGEREF _Toc71036659 \h </w:instrText>
          </w:r>
          <w:r>
            <w:fldChar w:fldCharType="separate"/>
          </w:r>
          <w:r>
            <w:t>29</w:t>
          </w:r>
          <w:r>
            <w:fldChar w:fldCharType="end"/>
          </w:r>
          <w:r>
            <w:fldChar w:fldCharType="end"/>
          </w:r>
        </w:p>
        <w:p>
          <w:pPr>
            <w:pStyle w:val="9"/>
            <w:tabs>
              <w:tab w:val="right" w:leader="dot" w:pos="9062"/>
            </w:tabs>
            <w:ind w:left="960"/>
            <w:rPr>
              <w:rFonts w:asciiTheme="minorHAnsi" w:hAnsiTheme="minorHAnsi" w:eastAsiaTheme="minorEastAsia" w:cstheme="minorBidi"/>
              <w:sz w:val="21"/>
            </w:rPr>
          </w:pPr>
          <w:r>
            <w:fldChar w:fldCharType="begin"/>
          </w:r>
          <w:r>
            <w:instrText xml:space="preserve"> HYPERLINK \l "_Toc71036660" </w:instrText>
          </w:r>
          <w:r>
            <w:fldChar w:fldCharType="separate"/>
          </w:r>
          <w:r>
            <w:rPr>
              <w:rStyle w:val="26"/>
            </w:rPr>
            <w:t>3.3.8</w:t>
          </w:r>
          <w:r>
            <w:rPr>
              <w:rStyle w:val="26"/>
              <w:rFonts w:hint="eastAsia"/>
            </w:rPr>
            <w:t>环保</w:t>
          </w:r>
          <w:r>
            <w:rPr>
              <w:rStyle w:val="26"/>
            </w:rPr>
            <w:t>“</w:t>
          </w:r>
          <w:r>
            <w:rPr>
              <w:rStyle w:val="26"/>
              <w:rFonts w:hint="eastAsia"/>
            </w:rPr>
            <w:t>三同时</w:t>
          </w:r>
          <w:r>
            <w:rPr>
              <w:rStyle w:val="26"/>
            </w:rPr>
            <w:t>”</w:t>
          </w:r>
          <w:r>
            <w:rPr>
              <w:rStyle w:val="26"/>
              <w:rFonts w:hint="eastAsia"/>
            </w:rPr>
            <w:t>履行情况</w:t>
          </w:r>
          <w:r>
            <w:tab/>
          </w:r>
          <w:r>
            <w:fldChar w:fldCharType="begin"/>
          </w:r>
          <w:r>
            <w:instrText xml:space="preserve"> PAGEREF _Toc71036660 \h </w:instrText>
          </w:r>
          <w:r>
            <w:fldChar w:fldCharType="separate"/>
          </w:r>
          <w:r>
            <w:t>29</w:t>
          </w:r>
          <w:r>
            <w:fldChar w:fldCharType="end"/>
          </w:r>
          <w:r>
            <w:fldChar w:fldCharType="end"/>
          </w:r>
        </w:p>
        <w:p>
          <w:pPr>
            <w:pStyle w:val="9"/>
            <w:tabs>
              <w:tab w:val="right" w:leader="dot" w:pos="9062"/>
            </w:tabs>
            <w:ind w:left="960"/>
            <w:rPr>
              <w:rFonts w:asciiTheme="minorHAnsi" w:hAnsiTheme="minorHAnsi" w:eastAsiaTheme="minorEastAsia" w:cstheme="minorBidi"/>
              <w:sz w:val="21"/>
            </w:rPr>
          </w:pPr>
          <w:r>
            <w:fldChar w:fldCharType="begin"/>
          </w:r>
          <w:r>
            <w:instrText xml:space="preserve"> HYPERLINK \l "_Toc71036661" </w:instrText>
          </w:r>
          <w:r>
            <w:fldChar w:fldCharType="separate"/>
          </w:r>
          <w:r>
            <w:rPr>
              <w:rStyle w:val="26"/>
            </w:rPr>
            <w:t>3.3.9</w:t>
          </w:r>
          <w:r>
            <w:rPr>
              <w:rStyle w:val="26"/>
              <w:rFonts w:hint="eastAsia"/>
            </w:rPr>
            <w:t>企业环境保护管理工作调查与评价</w:t>
          </w:r>
          <w:r>
            <w:tab/>
          </w:r>
          <w:r>
            <w:fldChar w:fldCharType="begin"/>
          </w:r>
          <w:r>
            <w:instrText xml:space="preserve"> PAGEREF _Toc71036661 \h </w:instrText>
          </w:r>
          <w:r>
            <w:fldChar w:fldCharType="separate"/>
          </w:r>
          <w:r>
            <w:t>29</w:t>
          </w:r>
          <w:r>
            <w:fldChar w:fldCharType="end"/>
          </w:r>
          <w:r>
            <w:fldChar w:fldCharType="end"/>
          </w:r>
        </w:p>
        <w:p>
          <w:pPr>
            <w:pStyle w:val="20"/>
            <w:tabs>
              <w:tab w:val="right" w:leader="dot" w:pos="9062"/>
            </w:tabs>
            <w:ind w:left="480"/>
            <w:rPr>
              <w:rFonts w:asciiTheme="minorHAnsi" w:hAnsiTheme="minorHAnsi" w:eastAsiaTheme="minorEastAsia" w:cstheme="minorBidi"/>
              <w:sz w:val="21"/>
            </w:rPr>
          </w:pPr>
          <w:r>
            <w:fldChar w:fldCharType="begin"/>
          </w:r>
          <w:r>
            <w:instrText xml:space="preserve"> HYPERLINK \l "_Toc71036662" </w:instrText>
          </w:r>
          <w:r>
            <w:fldChar w:fldCharType="separate"/>
          </w:r>
          <w:r>
            <w:rPr>
              <w:rStyle w:val="26"/>
            </w:rPr>
            <w:t>3.4</w:t>
          </w:r>
          <w:r>
            <w:rPr>
              <w:rStyle w:val="26"/>
              <w:rFonts w:hint="eastAsia"/>
            </w:rPr>
            <w:t>矿山生态环境评价与预测</w:t>
          </w:r>
          <w:r>
            <w:tab/>
          </w:r>
          <w:r>
            <w:fldChar w:fldCharType="begin"/>
          </w:r>
          <w:r>
            <w:instrText xml:space="preserve"> PAGEREF _Toc71036662 \h </w:instrText>
          </w:r>
          <w:r>
            <w:fldChar w:fldCharType="separate"/>
          </w:r>
          <w:r>
            <w:t>29</w:t>
          </w:r>
          <w:r>
            <w:fldChar w:fldCharType="end"/>
          </w:r>
          <w:r>
            <w:fldChar w:fldCharType="end"/>
          </w:r>
        </w:p>
        <w:p>
          <w:pPr>
            <w:pStyle w:val="16"/>
            <w:tabs>
              <w:tab w:val="right" w:leader="dot" w:pos="9062"/>
            </w:tabs>
            <w:rPr>
              <w:rFonts w:asciiTheme="minorHAnsi" w:hAnsiTheme="minorHAnsi" w:eastAsiaTheme="minorEastAsia" w:cstheme="minorBidi"/>
              <w:sz w:val="21"/>
            </w:rPr>
          </w:pPr>
          <w:r>
            <w:fldChar w:fldCharType="begin"/>
          </w:r>
          <w:r>
            <w:instrText xml:space="preserve"> HYPERLINK \l "_Toc71036663" </w:instrText>
          </w:r>
          <w:r>
            <w:fldChar w:fldCharType="separate"/>
          </w:r>
          <w:r>
            <w:rPr>
              <w:rStyle w:val="26"/>
              <w:rFonts w:ascii="Times New Roman" w:hAnsi="Times New Roman"/>
            </w:rPr>
            <w:t xml:space="preserve">4  </w:t>
          </w:r>
          <w:r>
            <w:rPr>
              <w:rStyle w:val="26"/>
              <w:rFonts w:hint="eastAsia" w:ascii="Times New Roman" w:hAnsi="Times New Roman"/>
            </w:rPr>
            <w:t>目标与指标</w:t>
          </w:r>
          <w:r>
            <w:tab/>
          </w:r>
          <w:r>
            <w:fldChar w:fldCharType="begin"/>
          </w:r>
          <w:r>
            <w:instrText xml:space="preserve"> PAGEREF _Toc71036663 \h </w:instrText>
          </w:r>
          <w:r>
            <w:fldChar w:fldCharType="separate"/>
          </w:r>
          <w:r>
            <w:t>32</w:t>
          </w:r>
          <w:r>
            <w:fldChar w:fldCharType="end"/>
          </w:r>
          <w:r>
            <w:fldChar w:fldCharType="end"/>
          </w:r>
        </w:p>
        <w:p>
          <w:pPr>
            <w:pStyle w:val="20"/>
            <w:tabs>
              <w:tab w:val="right" w:leader="dot" w:pos="9062"/>
            </w:tabs>
            <w:ind w:left="480"/>
            <w:rPr>
              <w:rFonts w:asciiTheme="minorHAnsi" w:hAnsiTheme="minorHAnsi" w:eastAsiaTheme="minorEastAsia" w:cstheme="minorBidi"/>
              <w:sz w:val="21"/>
            </w:rPr>
          </w:pPr>
          <w:r>
            <w:fldChar w:fldCharType="begin"/>
          </w:r>
          <w:r>
            <w:instrText xml:space="preserve"> HYPERLINK \l "_Toc71036664" </w:instrText>
          </w:r>
          <w:r>
            <w:fldChar w:fldCharType="separate"/>
          </w:r>
          <w:r>
            <w:rPr>
              <w:rStyle w:val="26"/>
            </w:rPr>
            <w:t xml:space="preserve">4.1 </w:t>
          </w:r>
          <w:r>
            <w:rPr>
              <w:rStyle w:val="26"/>
              <w:rFonts w:hint="eastAsia"/>
            </w:rPr>
            <w:t>总体目标</w:t>
          </w:r>
          <w:r>
            <w:tab/>
          </w:r>
          <w:r>
            <w:fldChar w:fldCharType="begin"/>
          </w:r>
          <w:r>
            <w:instrText xml:space="preserve"> PAGEREF _Toc71036664 \h </w:instrText>
          </w:r>
          <w:r>
            <w:fldChar w:fldCharType="separate"/>
          </w:r>
          <w:r>
            <w:t>32</w:t>
          </w:r>
          <w:r>
            <w:fldChar w:fldCharType="end"/>
          </w:r>
          <w:r>
            <w:fldChar w:fldCharType="end"/>
          </w:r>
        </w:p>
        <w:p>
          <w:pPr>
            <w:pStyle w:val="9"/>
            <w:tabs>
              <w:tab w:val="right" w:leader="dot" w:pos="9062"/>
            </w:tabs>
            <w:ind w:left="960"/>
            <w:rPr>
              <w:rFonts w:asciiTheme="minorHAnsi" w:hAnsiTheme="minorHAnsi" w:eastAsiaTheme="minorEastAsia" w:cstheme="minorBidi"/>
              <w:sz w:val="21"/>
            </w:rPr>
          </w:pPr>
          <w:r>
            <w:fldChar w:fldCharType="begin"/>
          </w:r>
          <w:r>
            <w:instrText xml:space="preserve"> HYPERLINK \l "_Toc71036665" </w:instrText>
          </w:r>
          <w:r>
            <w:fldChar w:fldCharType="separate"/>
          </w:r>
          <w:r>
            <w:rPr>
              <w:rStyle w:val="26"/>
            </w:rPr>
            <w:t>4.1.1</w:t>
          </w:r>
          <w:r>
            <w:rPr>
              <w:rStyle w:val="26"/>
              <w:rFonts w:hint="eastAsia"/>
            </w:rPr>
            <w:t>矿山生态环境保护与恢复治理原则</w:t>
          </w:r>
          <w:r>
            <w:tab/>
          </w:r>
          <w:r>
            <w:fldChar w:fldCharType="begin"/>
          </w:r>
          <w:r>
            <w:instrText xml:space="preserve"> PAGEREF _Toc71036665 \h </w:instrText>
          </w:r>
          <w:r>
            <w:fldChar w:fldCharType="separate"/>
          </w:r>
          <w:r>
            <w:t>32</w:t>
          </w:r>
          <w:r>
            <w:fldChar w:fldCharType="end"/>
          </w:r>
          <w:r>
            <w:fldChar w:fldCharType="end"/>
          </w:r>
        </w:p>
        <w:p>
          <w:pPr>
            <w:pStyle w:val="9"/>
            <w:tabs>
              <w:tab w:val="right" w:leader="dot" w:pos="9062"/>
            </w:tabs>
            <w:ind w:left="960"/>
            <w:rPr>
              <w:rFonts w:asciiTheme="minorHAnsi" w:hAnsiTheme="minorHAnsi" w:eastAsiaTheme="minorEastAsia" w:cstheme="minorBidi"/>
              <w:sz w:val="21"/>
            </w:rPr>
          </w:pPr>
          <w:r>
            <w:fldChar w:fldCharType="begin"/>
          </w:r>
          <w:r>
            <w:instrText xml:space="preserve"> HYPERLINK \l "_Toc71036666" </w:instrText>
          </w:r>
          <w:r>
            <w:fldChar w:fldCharType="separate"/>
          </w:r>
          <w:r>
            <w:rPr>
              <w:rStyle w:val="26"/>
            </w:rPr>
            <w:t>4.1.2</w:t>
          </w:r>
          <w:r>
            <w:rPr>
              <w:rStyle w:val="26"/>
              <w:rFonts w:hint="eastAsia"/>
            </w:rPr>
            <w:t>矿山生态环境保护与恢复治理总体目标</w:t>
          </w:r>
          <w:r>
            <w:tab/>
          </w:r>
          <w:r>
            <w:fldChar w:fldCharType="begin"/>
          </w:r>
          <w:r>
            <w:instrText xml:space="preserve"> PAGEREF _Toc71036666 \h </w:instrText>
          </w:r>
          <w:r>
            <w:fldChar w:fldCharType="separate"/>
          </w:r>
          <w:r>
            <w:t>32</w:t>
          </w:r>
          <w:r>
            <w:fldChar w:fldCharType="end"/>
          </w:r>
          <w:r>
            <w:fldChar w:fldCharType="end"/>
          </w:r>
        </w:p>
        <w:p>
          <w:pPr>
            <w:pStyle w:val="20"/>
            <w:tabs>
              <w:tab w:val="right" w:leader="dot" w:pos="9062"/>
            </w:tabs>
            <w:ind w:left="480"/>
            <w:rPr>
              <w:rFonts w:asciiTheme="minorHAnsi" w:hAnsiTheme="minorHAnsi" w:eastAsiaTheme="minorEastAsia" w:cstheme="minorBidi"/>
              <w:sz w:val="21"/>
            </w:rPr>
          </w:pPr>
          <w:r>
            <w:fldChar w:fldCharType="begin"/>
          </w:r>
          <w:r>
            <w:instrText xml:space="preserve"> HYPERLINK \l "_Toc71036667" </w:instrText>
          </w:r>
          <w:r>
            <w:fldChar w:fldCharType="separate"/>
          </w:r>
          <w:r>
            <w:rPr>
              <w:rStyle w:val="26"/>
            </w:rPr>
            <w:t xml:space="preserve">4.2 </w:t>
          </w:r>
          <w:r>
            <w:rPr>
              <w:rStyle w:val="26"/>
              <w:rFonts w:hint="eastAsia"/>
            </w:rPr>
            <w:t>规划期具体目标</w:t>
          </w:r>
          <w:r>
            <w:tab/>
          </w:r>
          <w:r>
            <w:fldChar w:fldCharType="begin"/>
          </w:r>
          <w:r>
            <w:instrText xml:space="preserve"> PAGEREF _Toc71036667 \h </w:instrText>
          </w:r>
          <w:r>
            <w:fldChar w:fldCharType="separate"/>
          </w:r>
          <w:r>
            <w:t>33</w:t>
          </w:r>
          <w:r>
            <w:fldChar w:fldCharType="end"/>
          </w:r>
          <w:r>
            <w:fldChar w:fldCharType="end"/>
          </w:r>
        </w:p>
        <w:p>
          <w:pPr>
            <w:pStyle w:val="16"/>
            <w:tabs>
              <w:tab w:val="right" w:leader="dot" w:pos="9062"/>
            </w:tabs>
            <w:rPr>
              <w:rFonts w:asciiTheme="minorHAnsi" w:hAnsiTheme="minorHAnsi" w:eastAsiaTheme="minorEastAsia" w:cstheme="minorBidi"/>
              <w:sz w:val="21"/>
            </w:rPr>
          </w:pPr>
          <w:r>
            <w:fldChar w:fldCharType="begin"/>
          </w:r>
          <w:r>
            <w:instrText xml:space="preserve"> HYPERLINK \l "_Toc71036668" </w:instrText>
          </w:r>
          <w:r>
            <w:fldChar w:fldCharType="separate"/>
          </w:r>
          <w:r>
            <w:rPr>
              <w:rStyle w:val="26"/>
              <w:rFonts w:ascii="Times New Roman" w:hAnsi="Times New Roman"/>
            </w:rPr>
            <w:t xml:space="preserve">5  </w:t>
          </w:r>
          <w:r>
            <w:rPr>
              <w:rStyle w:val="26"/>
              <w:rFonts w:hint="eastAsia" w:ascii="Times New Roman" w:hAnsi="Times New Roman"/>
            </w:rPr>
            <w:t>主要任务</w:t>
          </w:r>
          <w:r>
            <w:tab/>
          </w:r>
          <w:r>
            <w:fldChar w:fldCharType="begin"/>
          </w:r>
          <w:r>
            <w:instrText xml:space="preserve"> PAGEREF _Toc71036668 \h </w:instrText>
          </w:r>
          <w:r>
            <w:fldChar w:fldCharType="separate"/>
          </w:r>
          <w:r>
            <w:t>35</w:t>
          </w:r>
          <w:r>
            <w:fldChar w:fldCharType="end"/>
          </w:r>
          <w:r>
            <w:fldChar w:fldCharType="end"/>
          </w:r>
        </w:p>
        <w:p>
          <w:pPr>
            <w:pStyle w:val="20"/>
            <w:tabs>
              <w:tab w:val="right" w:leader="dot" w:pos="9062"/>
            </w:tabs>
            <w:ind w:left="480"/>
            <w:rPr>
              <w:rFonts w:asciiTheme="minorHAnsi" w:hAnsiTheme="minorHAnsi" w:eastAsiaTheme="minorEastAsia" w:cstheme="minorBidi"/>
              <w:sz w:val="21"/>
            </w:rPr>
          </w:pPr>
          <w:r>
            <w:fldChar w:fldCharType="begin"/>
          </w:r>
          <w:r>
            <w:instrText xml:space="preserve"> HYPERLINK \l "_Toc71036669" </w:instrText>
          </w:r>
          <w:r>
            <w:fldChar w:fldCharType="separate"/>
          </w:r>
          <w:r>
            <w:rPr>
              <w:rStyle w:val="26"/>
            </w:rPr>
            <w:t>5.1</w:t>
          </w:r>
          <w:r>
            <w:rPr>
              <w:rStyle w:val="26"/>
              <w:rFonts w:hint="eastAsia"/>
            </w:rPr>
            <w:t>矿山生态环境保护与恢复治理分区</w:t>
          </w:r>
          <w:r>
            <w:tab/>
          </w:r>
          <w:r>
            <w:fldChar w:fldCharType="begin"/>
          </w:r>
          <w:r>
            <w:instrText xml:space="preserve"> PAGEREF _Toc71036669 \h </w:instrText>
          </w:r>
          <w:r>
            <w:fldChar w:fldCharType="separate"/>
          </w:r>
          <w:r>
            <w:t>35</w:t>
          </w:r>
          <w:r>
            <w:fldChar w:fldCharType="end"/>
          </w:r>
          <w:r>
            <w:fldChar w:fldCharType="end"/>
          </w:r>
        </w:p>
        <w:p>
          <w:pPr>
            <w:pStyle w:val="20"/>
            <w:tabs>
              <w:tab w:val="right" w:leader="dot" w:pos="9062"/>
            </w:tabs>
            <w:ind w:left="480"/>
            <w:rPr>
              <w:rFonts w:asciiTheme="minorHAnsi" w:hAnsiTheme="minorHAnsi" w:eastAsiaTheme="minorEastAsia" w:cstheme="minorBidi"/>
              <w:sz w:val="21"/>
            </w:rPr>
          </w:pPr>
          <w:r>
            <w:fldChar w:fldCharType="begin"/>
          </w:r>
          <w:r>
            <w:instrText xml:space="preserve"> HYPERLINK \l "_Toc71036670" </w:instrText>
          </w:r>
          <w:r>
            <w:fldChar w:fldCharType="separate"/>
          </w:r>
          <w:r>
            <w:rPr>
              <w:rStyle w:val="26"/>
            </w:rPr>
            <w:t>5.2</w:t>
          </w:r>
          <w:r>
            <w:rPr>
              <w:rStyle w:val="26"/>
              <w:rFonts w:hint="eastAsia"/>
            </w:rPr>
            <w:t>方案设计</w:t>
          </w:r>
          <w:r>
            <w:tab/>
          </w:r>
          <w:r>
            <w:fldChar w:fldCharType="begin"/>
          </w:r>
          <w:r>
            <w:instrText xml:space="preserve"> PAGEREF _Toc71036670 \h </w:instrText>
          </w:r>
          <w:r>
            <w:fldChar w:fldCharType="separate"/>
          </w:r>
          <w:r>
            <w:t>35</w:t>
          </w:r>
          <w:r>
            <w:fldChar w:fldCharType="end"/>
          </w:r>
          <w:r>
            <w:fldChar w:fldCharType="end"/>
          </w:r>
        </w:p>
        <w:p>
          <w:pPr>
            <w:pStyle w:val="9"/>
            <w:tabs>
              <w:tab w:val="right" w:leader="dot" w:pos="9062"/>
            </w:tabs>
            <w:ind w:left="960"/>
            <w:rPr>
              <w:rFonts w:asciiTheme="minorHAnsi" w:hAnsiTheme="minorHAnsi" w:eastAsiaTheme="minorEastAsia" w:cstheme="minorBidi"/>
              <w:sz w:val="21"/>
            </w:rPr>
          </w:pPr>
          <w:r>
            <w:fldChar w:fldCharType="begin"/>
          </w:r>
          <w:r>
            <w:instrText xml:space="preserve"> HYPERLINK \l "_Toc71036671" </w:instrText>
          </w:r>
          <w:r>
            <w:fldChar w:fldCharType="separate"/>
          </w:r>
          <w:r>
            <w:rPr>
              <w:rStyle w:val="26"/>
            </w:rPr>
            <w:t>5.2.2 “</w:t>
          </w:r>
          <w:r>
            <w:rPr>
              <w:rStyle w:val="26"/>
              <w:rFonts w:hint="eastAsia"/>
            </w:rPr>
            <w:t>三废</w:t>
          </w:r>
          <w:r>
            <w:rPr>
              <w:rStyle w:val="26"/>
            </w:rPr>
            <w:t>”</w:t>
          </w:r>
          <w:r>
            <w:rPr>
              <w:rStyle w:val="26"/>
              <w:rFonts w:hint="eastAsia"/>
            </w:rPr>
            <w:t>治理工程</w:t>
          </w:r>
          <w:r>
            <w:tab/>
          </w:r>
          <w:r>
            <w:fldChar w:fldCharType="begin"/>
          </w:r>
          <w:r>
            <w:instrText xml:space="preserve"> PAGEREF _Toc71036671 \h </w:instrText>
          </w:r>
          <w:r>
            <w:fldChar w:fldCharType="separate"/>
          </w:r>
          <w:r>
            <w:t>36</w:t>
          </w:r>
          <w:r>
            <w:fldChar w:fldCharType="end"/>
          </w:r>
          <w:r>
            <w:fldChar w:fldCharType="end"/>
          </w:r>
        </w:p>
        <w:p>
          <w:pPr>
            <w:pStyle w:val="16"/>
            <w:tabs>
              <w:tab w:val="right" w:leader="dot" w:pos="9062"/>
            </w:tabs>
            <w:rPr>
              <w:rFonts w:asciiTheme="minorHAnsi" w:hAnsiTheme="minorHAnsi" w:eastAsiaTheme="minorEastAsia" w:cstheme="minorBidi"/>
              <w:sz w:val="21"/>
            </w:rPr>
          </w:pPr>
          <w:r>
            <w:fldChar w:fldCharType="begin"/>
          </w:r>
          <w:r>
            <w:instrText xml:space="preserve"> HYPERLINK \l "_Toc71036672" </w:instrText>
          </w:r>
          <w:r>
            <w:fldChar w:fldCharType="separate"/>
          </w:r>
          <w:r>
            <w:rPr>
              <w:rStyle w:val="26"/>
              <w:rFonts w:ascii="Times New Roman" w:hAnsi="Times New Roman"/>
            </w:rPr>
            <w:t xml:space="preserve">6  </w:t>
          </w:r>
          <w:r>
            <w:rPr>
              <w:rStyle w:val="26"/>
              <w:rFonts w:hint="eastAsia" w:ascii="Times New Roman" w:hAnsi="Times New Roman"/>
            </w:rPr>
            <w:t>治理工程及投资估算</w:t>
          </w:r>
          <w:r>
            <w:tab/>
          </w:r>
          <w:r>
            <w:fldChar w:fldCharType="begin"/>
          </w:r>
          <w:r>
            <w:instrText xml:space="preserve"> PAGEREF _Toc71036672 \h </w:instrText>
          </w:r>
          <w:r>
            <w:fldChar w:fldCharType="separate"/>
          </w:r>
          <w:r>
            <w:t>38</w:t>
          </w:r>
          <w:r>
            <w:fldChar w:fldCharType="end"/>
          </w:r>
          <w:r>
            <w:fldChar w:fldCharType="end"/>
          </w:r>
        </w:p>
        <w:p>
          <w:pPr>
            <w:pStyle w:val="20"/>
            <w:tabs>
              <w:tab w:val="right" w:leader="dot" w:pos="9062"/>
            </w:tabs>
            <w:ind w:left="480"/>
            <w:rPr>
              <w:rFonts w:asciiTheme="minorHAnsi" w:hAnsiTheme="minorHAnsi" w:eastAsiaTheme="minorEastAsia" w:cstheme="minorBidi"/>
              <w:sz w:val="21"/>
            </w:rPr>
          </w:pPr>
          <w:r>
            <w:fldChar w:fldCharType="begin"/>
          </w:r>
          <w:r>
            <w:instrText xml:space="preserve"> HYPERLINK \l "_Toc71036673" </w:instrText>
          </w:r>
          <w:r>
            <w:fldChar w:fldCharType="separate"/>
          </w:r>
          <w:r>
            <w:rPr>
              <w:rStyle w:val="26"/>
            </w:rPr>
            <w:t>6.1</w:t>
          </w:r>
          <w:r>
            <w:rPr>
              <w:rStyle w:val="26"/>
              <w:rFonts w:hint="eastAsia"/>
            </w:rPr>
            <w:t>治理工程</w:t>
          </w:r>
          <w:r>
            <w:tab/>
          </w:r>
          <w:r>
            <w:fldChar w:fldCharType="begin"/>
          </w:r>
          <w:r>
            <w:instrText xml:space="preserve"> PAGEREF _Toc71036673 \h </w:instrText>
          </w:r>
          <w:r>
            <w:fldChar w:fldCharType="separate"/>
          </w:r>
          <w:r>
            <w:t>38</w:t>
          </w:r>
          <w:r>
            <w:fldChar w:fldCharType="end"/>
          </w:r>
          <w:r>
            <w:fldChar w:fldCharType="end"/>
          </w:r>
        </w:p>
        <w:p>
          <w:pPr>
            <w:pStyle w:val="9"/>
            <w:tabs>
              <w:tab w:val="right" w:leader="dot" w:pos="9062"/>
            </w:tabs>
            <w:ind w:left="960"/>
            <w:rPr>
              <w:rFonts w:asciiTheme="minorHAnsi" w:hAnsiTheme="minorHAnsi" w:eastAsiaTheme="minorEastAsia" w:cstheme="minorBidi"/>
              <w:sz w:val="21"/>
            </w:rPr>
          </w:pPr>
          <w:r>
            <w:fldChar w:fldCharType="begin"/>
          </w:r>
          <w:r>
            <w:instrText xml:space="preserve"> HYPERLINK \l "_Toc71036674" </w:instrText>
          </w:r>
          <w:r>
            <w:fldChar w:fldCharType="separate"/>
          </w:r>
          <w:r>
            <w:rPr>
              <w:rStyle w:val="26"/>
            </w:rPr>
            <w:t>6.1.1</w:t>
          </w:r>
          <w:r>
            <w:rPr>
              <w:rStyle w:val="26"/>
              <w:rFonts w:hint="eastAsia"/>
            </w:rPr>
            <w:t>生态环境治理工程</w:t>
          </w:r>
          <w:r>
            <w:tab/>
          </w:r>
          <w:r>
            <w:fldChar w:fldCharType="begin"/>
          </w:r>
          <w:r>
            <w:instrText xml:space="preserve"> PAGEREF _Toc71036674 \h </w:instrText>
          </w:r>
          <w:r>
            <w:fldChar w:fldCharType="separate"/>
          </w:r>
          <w:r>
            <w:t>38</w:t>
          </w:r>
          <w:r>
            <w:fldChar w:fldCharType="end"/>
          </w:r>
          <w:r>
            <w:fldChar w:fldCharType="end"/>
          </w:r>
        </w:p>
        <w:p>
          <w:pPr>
            <w:pStyle w:val="9"/>
            <w:tabs>
              <w:tab w:val="right" w:leader="dot" w:pos="9062"/>
            </w:tabs>
            <w:ind w:left="960"/>
            <w:rPr>
              <w:rFonts w:asciiTheme="minorHAnsi" w:hAnsiTheme="minorHAnsi" w:eastAsiaTheme="minorEastAsia" w:cstheme="minorBidi"/>
              <w:sz w:val="21"/>
            </w:rPr>
          </w:pPr>
          <w:r>
            <w:fldChar w:fldCharType="begin"/>
          </w:r>
          <w:r>
            <w:instrText xml:space="preserve"> HYPERLINK \l "_Toc71036675" </w:instrText>
          </w:r>
          <w:r>
            <w:fldChar w:fldCharType="separate"/>
          </w:r>
          <w:r>
            <w:rPr>
              <w:rStyle w:val="26"/>
            </w:rPr>
            <w:t>6.1.2</w:t>
          </w:r>
          <w:r>
            <w:rPr>
              <w:rStyle w:val="26"/>
              <w:rFonts w:hint="eastAsia"/>
            </w:rPr>
            <w:t>矿山生态环境监控能力建设工程</w:t>
          </w:r>
          <w:r>
            <w:tab/>
          </w:r>
          <w:r>
            <w:fldChar w:fldCharType="begin"/>
          </w:r>
          <w:r>
            <w:instrText xml:space="preserve"> PAGEREF _Toc71036675 \h </w:instrText>
          </w:r>
          <w:r>
            <w:fldChar w:fldCharType="separate"/>
          </w:r>
          <w:r>
            <w:t>44</w:t>
          </w:r>
          <w:r>
            <w:fldChar w:fldCharType="end"/>
          </w:r>
          <w:r>
            <w:fldChar w:fldCharType="end"/>
          </w:r>
        </w:p>
        <w:p>
          <w:pPr>
            <w:pStyle w:val="20"/>
            <w:tabs>
              <w:tab w:val="right" w:leader="dot" w:pos="9062"/>
            </w:tabs>
            <w:ind w:left="480"/>
            <w:rPr>
              <w:rFonts w:asciiTheme="minorHAnsi" w:hAnsiTheme="minorHAnsi" w:eastAsiaTheme="minorEastAsia" w:cstheme="minorBidi"/>
              <w:sz w:val="21"/>
            </w:rPr>
          </w:pPr>
          <w:r>
            <w:fldChar w:fldCharType="begin"/>
          </w:r>
          <w:r>
            <w:instrText xml:space="preserve"> HYPERLINK \l "_Toc71036676" </w:instrText>
          </w:r>
          <w:r>
            <w:fldChar w:fldCharType="separate"/>
          </w:r>
          <w:r>
            <w:rPr>
              <w:rStyle w:val="26"/>
            </w:rPr>
            <w:t>6.2</w:t>
          </w:r>
          <w:r>
            <w:rPr>
              <w:rStyle w:val="26"/>
              <w:rFonts w:hint="eastAsia"/>
            </w:rPr>
            <w:t>经费估算</w:t>
          </w:r>
          <w:r>
            <w:tab/>
          </w:r>
          <w:r>
            <w:fldChar w:fldCharType="begin"/>
          </w:r>
          <w:r>
            <w:instrText xml:space="preserve"> PAGEREF _Toc71036676 \h </w:instrText>
          </w:r>
          <w:r>
            <w:fldChar w:fldCharType="separate"/>
          </w:r>
          <w:r>
            <w:t>45</w:t>
          </w:r>
          <w:r>
            <w:fldChar w:fldCharType="end"/>
          </w:r>
          <w:r>
            <w:fldChar w:fldCharType="end"/>
          </w:r>
        </w:p>
        <w:p>
          <w:pPr>
            <w:pStyle w:val="9"/>
            <w:tabs>
              <w:tab w:val="right" w:leader="dot" w:pos="9062"/>
            </w:tabs>
            <w:ind w:left="960"/>
            <w:rPr>
              <w:rFonts w:asciiTheme="minorHAnsi" w:hAnsiTheme="minorHAnsi" w:eastAsiaTheme="minorEastAsia" w:cstheme="minorBidi"/>
              <w:sz w:val="21"/>
            </w:rPr>
          </w:pPr>
          <w:r>
            <w:fldChar w:fldCharType="begin"/>
          </w:r>
          <w:r>
            <w:instrText xml:space="preserve"> HYPERLINK \l "_Toc71036677" </w:instrText>
          </w:r>
          <w:r>
            <w:fldChar w:fldCharType="separate"/>
          </w:r>
          <w:r>
            <w:rPr>
              <w:rStyle w:val="26"/>
            </w:rPr>
            <w:t>6.2.1</w:t>
          </w:r>
          <w:r>
            <w:rPr>
              <w:rStyle w:val="26"/>
              <w:rFonts w:hint="eastAsia"/>
            </w:rPr>
            <w:t>经费估算依据</w:t>
          </w:r>
          <w:r>
            <w:tab/>
          </w:r>
          <w:r>
            <w:fldChar w:fldCharType="begin"/>
          </w:r>
          <w:r>
            <w:instrText xml:space="preserve"> PAGEREF _Toc71036677 \h </w:instrText>
          </w:r>
          <w:r>
            <w:fldChar w:fldCharType="separate"/>
          </w:r>
          <w:r>
            <w:t>45</w:t>
          </w:r>
          <w:r>
            <w:fldChar w:fldCharType="end"/>
          </w:r>
          <w:r>
            <w:fldChar w:fldCharType="end"/>
          </w:r>
        </w:p>
        <w:p>
          <w:pPr>
            <w:pStyle w:val="9"/>
            <w:tabs>
              <w:tab w:val="right" w:leader="dot" w:pos="9062"/>
            </w:tabs>
            <w:ind w:left="960"/>
            <w:rPr>
              <w:rFonts w:asciiTheme="minorHAnsi" w:hAnsiTheme="minorHAnsi" w:eastAsiaTheme="minorEastAsia" w:cstheme="minorBidi"/>
              <w:sz w:val="21"/>
            </w:rPr>
          </w:pPr>
          <w:r>
            <w:fldChar w:fldCharType="begin"/>
          </w:r>
          <w:r>
            <w:instrText xml:space="preserve"> HYPERLINK \l "_Toc71036678" </w:instrText>
          </w:r>
          <w:r>
            <w:fldChar w:fldCharType="separate"/>
          </w:r>
          <w:r>
            <w:rPr>
              <w:rStyle w:val="26"/>
            </w:rPr>
            <w:t>6.2.2</w:t>
          </w:r>
          <w:r>
            <w:rPr>
              <w:rStyle w:val="26"/>
              <w:rFonts w:hint="eastAsia"/>
            </w:rPr>
            <w:t>经费估算</w:t>
          </w:r>
          <w:r>
            <w:tab/>
          </w:r>
          <w:r>
            <w:fldChar w:fldCharType="begin"/>
          </w:r>
          <w:r>
            <w:instrText xml:space="preserve"> PAGEREF _Toc71036678 \h </w:instrText>
          </w:r>
          <w:r>
            <w:fldChar w:fldCharType="separate"/>
          </w:r>
          <w:r>
            <w:t>47</w:t>
          </w:r>
          <w:r>
            <w:fldChar w:fldCharType="end"/>
          </w:r>
          <w:r>
            <w:fldChar w:fldCharType="end"/>
          </w:r>
        </w:p>
        <w:p>
          <w:pPr>
            <w:pStyle w:val="9"/>
            <w:tabs>
              <w:tab w:val="right" w:leader="dot" w:pos="9062"/>
            </w:tabs>
            <w:ind w:left="960"/>
            <w:rPr>
              <w:rFonts w:asciiTheme="minorHAnsi" w:hAnsiTheme="minorHAnsi" w:eastAsiaTheme="minorEastAsia" w:cstheme="minorBidi"/>
              <w:sz w:val="21"/>
            </w:rPr>
          </w:pPr>
          <w:r>
            <w:fldChar w:fldCharType="begin"/>
          </w:r>
          <w:r>
            <w:instrText xml:space="preserve"> HYPERLINK \l "_Toc71036679" </w:instrText>
          </w:r>
          <w:r>
            <w:fldChar w:fldCharType="separate"/>
          </w:r>
          <w:r>
            <w:rPr>
              <w:rStyle w:val="26"/>
            </w:rPr>
            <w:t>6.2.3</w:t>
          </w:r>
          <w:r>
            <w:rPr>
              <w:rStyle w:val="26"/>
              <w:rFonts w:hint="eastAsia"/>
            </w:rPr>
            <w:t>总费用汇总</w:t>
          </w:r>
          <w:r>
            <w:tab/>
          </w:r>
          <w:r>
            <w:fldChar w:fldCharType="begin"/>
          </w:r>
          <w:r>
            <w:instrText xml:space="preserve"> PAGEREF _Toc71036679 \h </w:instrText>
          </w:r>
          <w:r>
            <w:fldChar w:fldCharType="separate"/>
          </w:r>
          <w:r>
            <w:t>50</w:t>
          </w:r>
          <w:r>
            <w:fldChar w:fldCharType="end"/>
          </w:r>
          <w:r>
            <w:fldChar w:fldCharType="end"/>
          </w:r>
        </w:p>
        <w:p>
          <w:pPr>
            <w:pStyle w:val="16"/>
            <w:tabs>
              <w:tab w:val="right" w:leader="dot" w:pos="9062"/>
            </w:tabs>
            <w:rPr>
              <w:rFonts w:asciiTheme="minorHAnsi" w:hAnsiTheme="minorHAnsi" w:eastAsiaTheme="minorEastAsia" w:cstheme="minorBidi"/>
              <w:sz w:val="21"/>
            </w:rPr>
          </w:pPr>
          <w:r>
            <w:fldChar w:fldCharType="begin"/>
          </w:r>
          <w:r>
            <w:instrText xml:space="preserve"> HYPERLINK \l "_Toc71036680" </w:instrText>
          </w:r>
          <w:r>
            <w:fldChar w:fldCharType="separate"/>
          </w:r>
          <w:r>
            <w:rPr>
              <w:rStyle w:val="26"/>
              <w:rFonts w:ascii="Times New Roman" w:hAnsi="Times New Roman"/>
            </w:rPr>
            <w:t xml:space="preserve">7  </w:t>
          </w:r>
          <w:r>
            <w:rPr>
              <w:rStyle w:val="26"/>
              <w:rFonts w:hint="eastAsia" w:ascii="Times New Roman" w:hAnsi="Times New Roman"/>
            </w:rPr>
            <w:t>效益分析及评价</w:t>
          </w:r>
          <w:r>
            <w:tab/>
          </w:r>
          <w:r>
            <w:fldChar w:fldCharType="begin"/>
          </w:r>
          <w:r>
            <w:instrText xml:space="preserve"> PAGEREF _Toc71036680 \h </w:instrText>
          </w:r>
          <w:r>
            <w:fldChar w:fldCharType="separate"/>
          </w:r>
          <w:r>
            <w:t>51</w:t>
          </w:r>
          <w:r>
            <w:fldChar w:fldCharType="end"/>
          </w:r>
          <w:r>
            <w:fldChar w:fldCharType="end"/>
          </w:r>
        </w:p>
        <w:p>
          <w:pPr>
            <w:pStyle w:val="20"/>
            <w:tabs>
              <w:tab w:val="right" w:leader="dot" w:pos="9062"/>
            </w:tabs>
            <w:ind w:left="480"/>
            <w:rPr>
              <w:rFonts w:asciiTheme="minorHAnsi" w:hAnsiTheme="minorHAnsi" w:eastAsiaTheme="minorEastAsia" w:cstheme="minorBidi"/>
              <w:sz w:val="21"/>
            </w:rPr>
          </w:pPr>
          <w:r>
            <w:fldChar w:fldCharType="begin"/>
          </w:r>
          <w:r>
            <w:instrText xml:space="preserve"> HYPERLINK \l "_Toc71036681" </w:instrText>
          </w:r>
          <w:r>
            <w:fldChar w:fldCharType="separate"/>
          </w:r>
          <w:r>
            <w:rPr>
              <w:rStyle w:val="26"/>
            </w:rPr>
            <w:t xml:space="preserve">7.1 </w:t>
          </w:r>
          <w:r>
            <w:rPr>
              <w:rStyle w:val="26"/>
              <w:rFonts w:hint="eastAsia"/>
            </w:rPr>
            <w:t>经济效益</w:t>
          </w:r>
          <w:r>
            <w:tab/>
          </w:r>
          <w:r>
            <w:fldChar w:fldCharType="begin"/>
          </w:r>
          <w:r>
            <w:instrText xml:space="preserve"> PAGEREF _Toc71036681 \h </w:instrText>
          </w:r>
          <w:r>
            <w:fldChar w:fldCharType="separate"/>
          </w:r>
          <w:r>
            <w:t>51</w:t>
          </w:r>
          <w:r>
            <w:fldChar w:fldCharType="end"/>
          </w:r>
          <w:r>
            <w:fldChar w:fldCharType="end"/>
          </w:r>
        </w:p>
        <w:p>
          <w:pPr>
            <w:pStyle w:val="20"/>
            <w:tabs>
              <w:tab w:val="right" w:leader="dot" w:pos="9062"/>
            </w:tabs>
            <w:ind w:left="480"/>
            <w:rPr>
              <w:rFonts w:asciiTheme="minorHAnsi" w:hAnsiTheme="minorHAnsi" w:eastAsiaTheme="minorEastAsia" w:cstheme="minorBidi"/>
              <w:sz w:val="21"/>
            </w:rPr>
          </w:pPr>
          <w:r>
            <w:fldChar w:fldCharType="begin"/>
          </w:r>
          <w:r>
            <w:instrText xml:space="preserve"> HYPERLINK \l "_Toc71036682" </w:instrText>
          </w:r>
          <w:r>
            <w:fldChar w:fldCharType="separate"/>
          </w:r>
          <w:r>
            <w:rPr>
              <w:rStyle w:val="26"/>
            </w:rPr>
            <w:t>7.2</w:t>
          </w:r>
          <w:r>
            <w:rPr>
              <w:rStyle w:val="26"/>
              <w:rFonts w:hint="eastAsia"/>
            </w:rPr>
            <w:t>社会效益</w:t>
          </w:r>
          <w:r>
            <w:tab/>
          </w:r>
          <w:r>
            <w:fldChar w:fldCharType="begin"/>
          </w:r>
          <w:r>
            <w:instrText xml:space="preserve"> PAGEREF _Toc71036682 \h </w:instrText>
          </w:r>
          <w:r>
            <w:fldChar w:fldCharType="separate"/>
          </w:r>
          <w:r>
            <w:t>51</w:t>
          </w:r>
          <w:r>
            <w:fldChar w:fldCharType="end"/>
          </w:r>
          <w:r>
            <w:fldChar w:fldCharType="end"/>
          </w:r>
        </w:p>
        <w:p>
          <w:pPr>
            <w:pStyle w:val="9"/>
            <w:tabs>
              <w:tab w:val="right" w:leader="dot" w:pos="9062"/>
            </w:tabs>
            <w:ind w:left="960"/>
            <w:rPr>
              <w:rFonts w:asciiTheme="minorHAnsi" w:hAnsiTheme="minorHAnsi" w:eastAsiaTheme="minorEastAsia" w:cstheme="minorBidi"/>
              <w:sz w:val="21"/>
            </w:rPr>
          </w:pPr>
          <w:r>
            <w:fldChar w:fldCharType="begin"/>
          </w:r>
          <w:r>
            <w:instrText xml:space="preserve"> HYPERLINK \l "_Toc71036683" </w:instrText>
          </w:r>
          <w:r>
            <w:fldChar w:fldCharType="separate"/>
          </w:r>
          <w:r>
            <w:rPr>
              <w:rStyle w:val="26"/>
            </w:rPr>
            <w:t>7.2.1</w:t>
          </w:r>
          <w:r>
            <w:rPr>
              <w:rStyle w:val="26"/>
              <w:rFonts w:hint="eastAsia"/>
            </w:rPr>
            <w:t>有助于增强企业实力，促进企业整体良性循环</w:t>
          </w:r>
          <w:r>
            <w:tab/>
          </w:r>
          <w:r>
            <w:fldChar w:fldCharType="begin"/>
          </w:r>
          <w:r>
            <w:instrText xml:space="preserve"> PAGEREF _Toc71036683 \h </w:instrText>
          </w:r>
          <w:r>
            <w:fldChar w:fldCharType="separate"/>
          </w:r>
          <w:r>
            <w:t>51</w:t>
          </w:r>
          <w:r>
            <w:fldChar w:fldCharType="end"/>
          </w:r>
          <w:r>
            <w:fldChar w:fldCharType="end"/>
          </w:r>
        </w:p>
        <w:p>
          <w:pPr>
            <w:pStyle w:val="9"/>
            <w:tabs>
              <w:tab w:val="right" w:leader="dot" w:pos="9062"/>
            </w:tabs>
            <w:ind w:left="960"/>
            <w:rPr>
              <w:rFonts w:asciiTheme="minorHAnsi" w:hAnsiTheme="minorHAnsi" w:eastAsiaTheme="minorEastAsia" w:cstheme="minorBidi"/>
              <w:sz w:val="21"/>
            </w:rPr>
          </w:pPr>
          <w:r>
            <w:fldChar w:fldCharType="begin"/>
          </w:r>
          <w:r>
            <w:instrText xml:space="preserve"> HYPERLINK \l "_Toc71036684" </w:instrText>
          </w:r>
          <w:r>
            <w:fldChar w:fldCharType="separate"/>
          </w:r>
          <w:r>
            <w:rPr>
              <w:rStyle w:val="26"/>
            </w:rPr>
            <w:t>7.2.2</w:t>
          </w:r>
          <w:r>
            <w:rPr>
              <w:rStyle w:val="26"/>
              <w:rFonts w:hint="eastAsia"/>
            </w:rPr>
            <w:t>有利于促进地区经济发展</w:t>
          </w:r>
          <w:r>
            <w:tab/>
          </w:r>
          <w:r>
            <w:fldChar w:fldCharType="begin"/>
          </w:r>
          <w:r>
            <w:instrText xml:space="preserve"> PAGEREF _Toc71036684 \h </w:instrText>
          </w:r>
          <w:r>
            <w:fldChar w:fldCharType="separate"/>
          </w:r>
          <w:r>
            <w:t>51</w:t>
          </w:r>
          <w:r>
            <w:fldChar w:fldCharType="end"/>
          </w:r>
          <w:r>
            <w:fldChar w:fldCharType="end"/>
          </w:r>
        </w:p>
        <w:p>
          <w:pPr>
            <w:pStyle w:val="9"/>
            <w:tabs>
              <w:tab w:val="right" w:leader="dot" w:pos="9062"/>
            </w:tabs>
            <w:ind w:left="960"/>
            <w:rPr>
              <w:rFonts w:asciiTheme="minorHAnsi" w:hAnsiTheme="minorHAnsi" w:eastAsiaTheme="minorEastAsia" w:cstheme="minorBidi"/>
              <w:sz w:val="21"/>
            </w:rPr>
          </w:pPr>
          <w:r>
            <w:fldChar w:fldCharType="begin"/>
          </w:r>
          <w:r>
            <w:instrText xml:space="preserve"> HYPERLINK \l "_Toc71036685" </w:instrText>
          </w:r>
          <w:r>
            <w:fldChar w:fldCharType="separate"/>
          </w:r>
          <w:r>
            <w:rPr>
              <w:rStyle w:val="26"/>
            </w:rPr>
            <w:t>7.2.3</w:t>
          </w:r>
          <w:r>
            <w:rPr>
              <w:rStyle w:val="26"/>
              <w:rFonts w:hint="eastAsia"/>
            </w:rPr>
            <w:t>安排在籍人员劳动就业，为社会安定做贡献</w:t>
          </w:r>
          <w:r>
            <w:tab/>
          </w:r>
          <w:r>
            <w:fldChar w:fldCharType="begin"/>
          </w:r>
          <w:r>
            <w:instrText xml:space="preserve"> PAGEREF _Toc71036685 \h </w:instrText>
          </w:r>
          <w:r>
            <w:fldChar w:fldCharType="separate"/>
          </w:r>
          <w:r>
            <w:t>51</w:t>
          </w:r>
          <w:r>
            <w:fldChar w:fldCharType="end"/>
          </w:r>
          <w:r>
            <w:fldChar w:fldCharType="end"/>
          </w:r>
        </w:p>
        <w:p>
          <w:pPr>
            <w:pStyle w:val="20"/>
            <w:tabs>
              <w:tab w:val="right" w:leader="dot" w:pos="9062"/>
            </w:tabs>
            <w:ind w:left="480"/>
            <w:rPr>
              <w:rFonts w:asciiTheme="minorHAnsi" w:hAnsiTheme="minorHAnsi" w:eastAsiaTheme="minorEastAsia" w:cstheme="minorBidi"/>
              <w:sz w:val="21"/>
            </w:rPr>
          </w:pPr>
          <w:r>
            <w:fldChar w:fldCharType="begin"/>
          </w:r>
          <w:r>
            <w:instrText xml:space="preserve"> HYPERLINK \l "_Toc71036686" </w:instrText>
          </w:r>
          <w:r>
            <w:fldChar w:fldCharType="separate"/>
          </w:r>
          <w:r>
            <w:rPr>
              <w:rStyle w:val="26"/>
            </w:rPr>
            <w:t>7.3</w:t>
          </w:r>
          <w:r>
            <w:rPr>
              <w:rStyle w:val="26"/>
              <w:rFonts w:hint="eastAsia"/>
            </w:rPr>
            <w:t>生态效益</w:t>
          </w:r>
          <w:r>
            <w:tab/>
          </w:r>
          <w:r>
            <w:fldChar w:fldCharType="begin"/>
          </w:r>
          <w:r>
            <w:instrText xml:space="preserve"> PAGEREF _Toc71036686 \h </w:instrText>
          </w:r>
          <w:r>
            <w:fldChar w:fldCharType="separate"/>
          </w:r>
          <w:r>
            <w:t>52</w:t>
          </w:r>
          <w:r>
            <w:fldChar w:fldCharType="end"/>
          </w:r>
          <w:r>
            <w:fldChar w:fldCharType="end"/>
          </w:r>
        </w:p>
        <w:p>
          <w:pPr>
            <w:pStyle w:val="16"/>
            <w:tabs>
              <w:tab w:val="right" w:leader="dot" w:pos="9062"/>
            </w:tabs>
            <w:rPr>
              <w:rFonts w:asciiTheme="minorHAnsi" w:hAnsiTheme="minorHAnsi" w:eastAsiaTheme="minorEastAsia" w:cstheme="minorBidi"/>
              <w:sz w:val="21"/>
            </w:rPr>
          </w:pPr>
          <w:r>
            <w:fldChar w:fldCharType="begin"/>
          </w:r>
          <w:r>
            <w:instrText xml:space="preserve"> HYPERLINK \l "_Toc71036687" </w:instrText>
          </w:r>
          <w:r>
            <w:fldChar w:fldCharType="separate"/>
          </w:r>
          <w:r>
            <w:rPr>
              <w:rStyle w:val="26"/>
              <w:rFonts w:ascii="Times New Roman" w:hAnsi="Times New Roman"/>
            </w:rPr>
            <w:t xml:space="preserve">8  </w:t>
          </w:r>
          <w:r>
            <w:rPr>
              <w:rStyle w:val="26"/>
              <w:rFonts w:hint="eastAsia" w:ascii="Times New Roman" w:hAnsi="Times New Roman"/>
            </w:rPr>
            <w:t>保障措施</w:t>
          </w:r>
          <w:r>
            <w:tab/>
          </w:r>
          <w:r>
            <w:fldChar w:fldCharType="begin"/>
          </w:r>
          <w:r>
            <w:instrText xml:space="preserve"> PAGEREF _Toc71036687 \h </w:instrText>
          </w:r>
          <w:r>
            <w:fldChar w:fldCharType="separate"/>
          </w:r>
          <w:r>
            <w:t>53</w:t>
          </w:r>
          <w:r>
            <w:fldChar w:fldCharType="end"/>
          </w:r>
          <w:r>
            <w:fldChar w:fldCharType="end"/>
          </w:r>
        </w:p>
        <w:p>
          <w:pPr>
            <w:pStyle w:val="20"/>
            <w:tabs>
              <w:tab w:val="right" w:leader="dot" w:pos="9062"/>
            </w:tabs>
            <w:ind w:left="480"/>
            <w:rPr>
              <w:rFonts w:asciiTheme="minorHAnsi" w:hAnsiTheme="minorHAnsi" w:eastAsiaTheme="minorEastAsia" w:cstheme="minorBidi"/>
              <w:sz w:val="21"/>
            </w:rPr>
          </w:pPr>
          <w:r>
            <w:fldChar w:fldCharType="begin"/>
          </w:r>
          <w:r>
            <w:instrText xml:space="preserve"> HYPERLINK \l "_Toc71036688" </w:instrText>
          </w:r>
          <w:r>
            <w:fldChar w:fldCharType="separate"/>
          </w:r>
          <w:r>
            <w:rPr>
              <w:rStyle w:val="26"/>
            </w:rPr>
            <w:t xml:space="preserve">8.1 </w:t>
          </w:r>
          <w:r>
            <w:rPr>
              <w:rStyle w:val="26"/>
              <w:rFonts w:hint="eastAsia"/>
            </w:rPr>
            <w:t>政策保障</w:t>
          </w:r>
          <w:r>
            <w:tab/>
          </w:r>
          <w:r>
            <w:fldChar w:fldCharType="begin"/>
          </w:r>
          <w:r>
            <w:instrText xml:space="preserve"> PAGEREF _Toc71036688 \h </w:instrText>
          </w:r>
          <w:r>
            <w:fldChar w:fldCharType="separate"/>
          </w:r>
          <w:r>
            <w:t>53</w:t>
          </w:r>
          <w:r>
            <w:fldChar w:fldCharType="end"/>
          </w:r>
          <w:r>
            <w:fldChar w:fldCharType="end"/>
          </w:r>
        </w:p>
        <w:p>
          <w:pPr>
            <w:pStyle w:val="20"/>
            <w:tabs>
              <w:tab w:val="right" w:leader="dot" w:pos="9062"/>
            </w:tabs>
            <w:ind w:left="480"/>
            <w:rPr>
              <w:rFonts w:asciiTheme="minorHAnsi" w:hAnsiTheme="minorHAnsi" w:eastAsiaTheme="minorEastAsia" w:cstheme="minorBidi"/>
              <w:sz w:val="21"/>
            </w:rPr>
          </w:pPr>
          <w:r>
            <w:fldChar w:fldCharType="begin"/>
          </w:r>
          <w:r>
            <w:instrText xml:space="preserve"> HYPERLINK \l "_Toc71036689" </w:instrText>
          </w:r>
          <w:r>
            <w:fldChar w:fldCharType="separate"/>
          </w:r>
          <w:r>
            <w:rPr>
              <w:rStyle w:val="26"/>
            </w:rPr>
            <w:t xml:space="preserve">8.2  </w:t>
          </w:r>
          <w:r>
            <w:rPr>
              <w:rStyle w:val="26"/>
              <w:rFonts w:hint="eastAsia"/>
            </w:rPr>
            <w:t>组织保障</w:t>
          </w:r>
          <w:r>
            <w:tab/>
          </w:r>
          <w:r>
            <w:fldChar w:fldCharType="begin"/>
          </w:r>
          <w:r>
            <w:instrText xml:space="preserve"> PAGEREF _Toc71036689 \h </w:instrText>
          </w:r>
          <w:r>
            <w:fldChar w:fldCharType="separate"/>
          </w:r>
          <w:r>
            <w:t>53</w:t>
          </w:r>
          <w:r>
            <w:fldChar w:fldCharType="end"/>
          </w:r>
          <w:r>
            <w:fldChar w:fldCharType="end"/>
          </w:r>
        </w:p>
        <w:p>
          <w:pPr>
            <w:pStyle w:val="20"/>
            <w:tabs>
              <w:tab w:val="right" w:leader="dot" w:pos="9062"/>
            </w:tabs>
            <w:ind w:left="480"/>
            <w:rPr>
              <w:rFonts w:asciiTheme="minorHAnsi" w:hAnsiTheme="minorHAnsi" w:eastAsiaTheme="minorEastAsia" w:cstheme="minorBidi"/>
              <w:sz w:val="21"/>
            </w:rPr>
          </w:pPr>
          <w:r>
            <w:fldChar w:fldCharType="begin"/>
          </w:r>
          <w:r>
            <w:instrText xml:space="preserve"> HYPERLINK \l "_Toc71036690" </w:instrText>
          </w:r>
          <w:r>
            <w:fldChar w:fldCharType="separate"/>
          </w:r>
          <w:r>
            <w:rPr>
              <w:rStyle w:val="26"/>
            </w:rPr>
            <w:t xml:space="preserve">8.3 </w:t>
          </w:r>
          <w:r>
            <w:rPr>
              <w:rStyle w:val="26"/>
              <w:rFonts w:hint="eastAsia"/>
            </w:rPr>
            <w:t>资金保障</w:t>
          </w:r>
          <w:r>
            <w:tab/>
          </w:r>
          <w:r>
            <w:fldChar w:fldCharType="begin"/>
          </w:r>
          <w:r>
            <w:instrText xml:space="preserve"> PAGEREF _Toc71036690 \h </w:instrText>
          </w:r>
          <w:r>
            <w:fldChar w:fldCharType="separate"/>
          </w:r>
          <w:r>
            <w:t>54</w:t>
          </w:r>
          <w:r>
            <w:fldChar w:fldCharType="end"/>
          </w:r>
          <w:r>
            <w:fldChar w:fldCharType="end"/>
          </w:r>
        </w:p>
        <w:p>
          <w:pPr>
            <w:pStyle w:val="20"/>
            <w:tabs>
              <w:tab w:val="right" w:leader="dot" w:pos="9062"/>
            </w:tabs>
            <w:ind w:left="480"/>
            <w:rPr>
              <w:rFonts w:asciiTheme="minorHAnsi" w:hAnsiTheme="minorHAnsi" w:eastAsiaTheme="minorEastAsia" w:cstheme="minorBidi"/>
              <w:sz w:val="21"/>
            </w:rPr>
          </w:pPr>
          <w:r>
            <w:fldChar w:fldCharType="begin"/>
          </w:r>
          <w:r>
            <w:instrText xml:space="preserve"> HYPERLINK \l "_Toc71036691" </w:instrText>
          </w:r>
          <w:r>
            <w:fldChar w:fldCharType="separate"/>
          </w:r>
          <w:r>
            <w:rPr>
              <w:rStyle w:val="26"/>
            </w:rPr>
            <w:t xml:space="preserve">8.4 </w:t>
          </w:r>
          <w:r>
            <w:rPr>
              <w:rStyle w:val="26"/>
              <w:rFonts w:hint="eastAsia"/>
            </w:rPr>
            <w:t>技术保障</w:t>
          </w:r>
          <w:r>
            <w:tab/>
          </w:r>
          <w:r>
            <w:fldChar w:fldCharType="begin"/>
          </w:r>
          <w:r>
            <w:instrText xml:space="preserve"> PAGEREF _Toc71036691 \h </w:instrText>
          </w:r>
          <w:r>
            <w:fldChar w:fldCharType="separate"/>
          </w:r>
          <w:r>
            <w:t>54</w:t>
          </w:r>
          <w:r>
            <w:fldChar w:fldCharType="end"/>
          </w:r>
          <w:r>
            <w:fldChar w:fldCharType="end"/>
          </w:r>
        </w:p>
        <w:p>
          <w:pPr>
            <w:pStyle w:val="20"/>
            <w:tabs>
              <w:tab w:val="right" w:leader="dot" w:pos="9062"/>
            </w:tabs>
            <w:ind w:left="480"/>
            <w:rPr>
              <w:rFonts w:asciiTheme="minorHAnsi" w:hAnsiTheme="minorHAnsi" w:eastAsiaTheme="minorEastAsia" w:cstheme="minorBidi"/>
              <w:sz w:val="21"/>
            </w:rPr>
          </w:pPr>
          <w:r>
            <w:fldChar w:fldCharType="begin"/>
          </w:r>
          <w:r>
            <w:instrText xml:space="preserve"> HYPERLINK \l "_Toc71036692" </w:instrText>
          </w:r>
          <w:r>
            <w:fldChar w:fldCharType="separate"/>
          </w:r>
          <w:r>
            <w:rPr>
              <w:rStyle w:val="26"/>
            </w:rPr>
            <w:t xml:space="preserve">8.5 </w:t>
          </w:r>
          <w:r>
            <w:rPr>
              <w:rStyle w:val="26"/>
              <w:rFonts w:hint="eastAsia"/>
            </w:rPr>
            <w:t>山区绿化用水保障措施</w:t>
          </w:r>
          <w:r>
            <w:tab/>
          </w:r>
          <w:r>
            <w:fldChar w:fldCharType="begin"/>
          </w:r>
          <w:r>
            <w:instrText xml:space="preserve"> PAGEREF _Toc71036692 \h </w:instrText>
          </w:r>
          <w:r>
            <w:fldChar w:fldCharType="separate"/>
          </w:r>
          <w:r>
            <w:t>54</w:t>
          </w:r>
          <w:r>
            <w:fldChar w:fldCharType="end"/>
          </w:r>
          <w:r>
            <w:fldChar w:fldCharType="end"/>
          </w:r>
        </w:p>
        <w:p>
          <w:pPr>
            <w:pStyle w:val="16"/>
            <w:tabs>
              <w:tab w:val="right" w:leader="dot" w:pos="9062"/>
            </w:tabs>
            <w:rPr>
              <w:rFonts w:asciiTheme="minorHAnsi" w:hAnsiTheme="minorHAnsi" w:eastAsiaTheme="minorEastAsia" w:cstheme="minorBidi"/>
              <w:sz w:val="21"/>
            </w:rPr>
          </w:pPr>
          <w:r>
            <w:fldChar w:fldCharType="begin"/>
          </w:r>
          <w:r>
            <w:instrText xml:space="preserve"> HYPERLINK \l "_Toc71036693" </w:instrText>
          </w:r>
          <w:r>
            <w:fldChar w:fldCharType="separate"/>
          </w:r>
          <w:r>
            <w:rPr>
              <w:rStyle w:val="26"/>
              <w:rFonts w:ascii="Times New Roman" w:hAnsi="Times New Roman"/>
            </w:rPr>
            <w:t xml:space="preserve">9  </w:t>
          </w:r>
          <w:r>
            <w:rPr>
              <w:rStyle w:val="26"/>
              <w:rFonts w:hint="eastAsia" w:ascii="Times New Roman" w:hAnsi="Times New Roman"/>
            </w:rPr>
            <w:t>建议</w:t>
          </w:r>
          <w:r>
            <w:tab/>
          </w:r>
          <w:r>
            <w:fldChar w:fldCharType="begin"/>
          </w:r>
          <w:r>
            <w:instrText xml:space="preserve"> PAGEREF _Toc71036693 \h </w:instrText>
          </w:r>
          <w:r>
            <w:fldChar w:fldCharType="separate"/>
          </w:r>
          <w:r>
            <w:t>55</w:t>
          </w:r>
          <w:r>
            <w:fldChar w:fldCharType="end"/>
          </w:r>
          <w:r>
            <w:fldChar w:fldCharType="end"/>
          </w:r>
        </w:p>
        <w:p>
          <w:pPr>
            <w:pStyle w:val="2"/>
            <w:spacing w:line="400" w:lineRule="exact"/>
            <w:ind w:firstLine="0"/>
            <w:rPr>
              <w:rFonts w:ascii="Times New Roman" w:hAnsi="Times New Roman" w:cs="Times New Roman"/>
            </w:rPr>
          </w:pPr>
          <w:r>
            <w:rPr>
              <w:rFonts w:ascii="Times New Roman" w:hAnsi="Times New Roman" w:cs="Times New Roman"/>
            </w:rPr>
            <w:fldChar w:fldCharType="end"/>
          </w:r>
        </w:p>
      </w:sdtContent>
    </w:sdt>
    <w:p>
      <w:pPr>
        <w:pStyle w:val="2"/>
        <w:rPr>
          <w:rFonts w:ascii="Times New Roman" w:hAnsi="Times New Roman" w:cs="Times New Roman"/>
        </w:rPr>
      </w:pPr>
    </w:p>
    <w:p>
      <w:pPr>
        <w:pStyle w:val="2"/>
        <w:rPr>
          <w:rFonts w:ascii="Times New Roman" w:hAnsi="Times New Roman" w:cs="Times New Roman"/>
        </w:rPr>
        <w:sectPr>
          <w:pgSz w:w="11906" w:h="16838"/>
          <w:pgMar w:top="1417" w:right="1417" w:bottom="1417" w:left="1417" w:header="851" w:footer="992" w:gutter="0"/>
          <w:cols w:space="425" w:num="1"/>
          <w:docGrid w:type="lines" w:linePitch="312" w:charSpace="0"/>
        </w:sectPr>
      </w:pPr>
    </w:p>
    <w:p>
      <w:pPr>
        <w:pStyle w:val="2"/>
        <w:rPr>
          <w:rFonts w:ascii="Times New Roman" w:hAnsi="Times New Roman" w:cs="Times New Roman"/>
        </w:rPr>
        <w:sectPr>
          <w:pgSz w:w="11906" w:h="16838"/>
          <w:pgMar w:top="1417" w:right="1417" w:bottom="1417" w:left="1417" w:header="851" w:footer="992" w:gutter="0"/>
          <w:cols w:space="425" w:num="1"/>
          <w:docGrid w:type="lines" w:linePitch="312" w:charSpace="0"/>
        </w:sectPr>
      </w:pPr>
    </w:p>
    <w:p>
      <w:pPr>
        <w:pStyle w:val="2"/>
        <w:rPr>
          <w:rFonts w:ascii="Times New Roman" w:hAnsi="Times New Roman" w:cs="Times New Roman"/>
        </w:rPr>
      </w:pPr>
    </w:p>
    <w:p>
      <w:pPr>
        <w:pStyle w:val="2"/>
        <w:rPr>
          <w:rFonts w:ascii="Times New Roman" w:hAnsi="Times New Roman"/>
          <w:b/>
        </w:rPr>
      </w:pPr>
      <w:r>
        <w:rPr>
          <w:rFonts w:ascii="Times New Roman" w:hAnsi="Times New Roman"/>
          <w:b/>
        </w:rPr>
        <w:t>附  图  目  录</w:t>
      </w:r>
    </w:p>
    <w:p>
      <w:pPr>
        <w:pStyle w:val="2"/>
        <w:rPr>
          <w:rFonts w:ascii="Times New Roman" w:hAnsi="Times New Roman"/>
          <w:b/>
        </w:rPr>
      </w:pPr>
    </w:p>
    <w:p>
      <w:pPr>
        <w:pStyle w:val="2"/>
        <w:rPr>
          <w:rFonts w:ascii="Times New Roman" w:hAnsi="Times New Roman"/>
        </w:rPr>
      </w:pPr>
      <w:r>
        <w:rPr>
          <w:rFonts w:ascii="Times New Roman" w:hAnsi="Times New Roman"/>
        </w:rPr>
        <w:t>图号                  图       名                     比例尺</w:t>
      </w:r>
    </w:p>
    <w:p>
      <w:pPr>
        <w:pStyle w:val="2"/>
        <w:rPr>
          <w:rFonts w:ascii="Times New Roman" w:hAnsi="Times New Roman"/>
        </w:rPr>
      </w:pPr>
      <w:r>
        <w:rPr>
          <w:rFonts w:hint="eastAsia" w:ascii="Times New Roman" w:hAnsi="Times New Roman"/>
        </w:rPr>
        <w:t xml:space="preserve">1    </w:t>
      </w:r>
      <w:r>
        <w:rPr>
          <w:rFonts w:ascii="Times New Roman" w:hAnsi="Times New Roman"/>
        </w:rPr>
        <w:t>山西省五台县安顺源石料有限公司建筑石料用灰岩矿</w:t>
      </w:r>
    </w:p>
    <w:p>
      <w:pPr>
        <w:pStyle w:val="2"/>
        <w:ind w:firstLine="1068" w:firstLineChars="411"/>
        <w:rPr>
          <w:rFonts w:ascii="Times New Roman" w:hAnsi="Times New Roman"/>
        </w:rPr>
      </w:pPr>
      <w:r>
        <w:rPr>
          <w:rFonts w:ascii="Times New Roman" w:hAnsi="Times New Roman"/>
        </w:rPr>
        <w:t>总平面布置图                                   1:2000</w:t>
      </w:r>
    </w:p>
    <w:p>
      <w:pPr>
        <w:pStyle w:val="2"/>
        <w:rPr>
          <w:rFonts w:ascii="Times New Roman" w:hAnsi="Times New Roman"/>
        </w:rPr>
      </w:pPr>
      <w:r>
        <w:rPr>
          <w:rFonts w:hint="eastAsia" w:ascii="Times New Roman" w:hAnsi="Times New Roman"/>
        </w:rPr>
        <w:t xml:space="preserve">2  </w:t>
      </w:r>
      <w:r>
        <w:rPr>
          <w:rFonts w:ascii="Times New Roman" w:hAnsi="Times New Roman"/>
        </w:rPr>
        <w:t xml:space="preserve">  山西省五台县安顺源石料有限公司建筑石料用灰岩矿</w:t>
      </w:r>
    </w:p>
    <w:p>
      <w:pPr>
        <w:pStyle w:val="2"/>
        <w:ind w:firstLine="1068" w:firstLineChars="411"/>
        <w:rPr>
          <w:rFonts w:ascii="Times New Roman" w:hAnsi="Times New Roman"/>
        </w:rPr>
      </w:pPr>
      <w:r>
        <w:rPr>
          <w:rFonts w:ascii="Times New Roman" w:hAnsi="Times New Roman"/>
        </w:rPr>
        <w:t>土地利用现状图                                 1:2000</w:t>
      </w:r>
    </w:p>
    <w:p>
      <w:pPr>
        <w:pStyle w:val="2"/>
        <w:rPr>
          <w:rFonts w:ascii="Times New Roman" w:hAnsi="Times New Roman"/>
        </w:rPr>
      </w:pPr>
      <w:r>
        <w:rPr>
          <w:rFonts w:ascii="Times New Roman" w:hAnsi="Times New Roman"/>
        </w:rPr>
        <w:t>3   山西省五台县安顺源石料有限公司建筑石料用灰岩矿</w:t>
      </w:r>
    </w:p>
    <w:p>
      <w:pPr>
        <w:pStyle w:val="2"/>
        <w:ind w:firstLine="1068" w:firstLineChars="411"/>
        <w:rPr>
          <w:rFonts w:ascii="Times New Roman" w:hAnsi="Times New Roman"/>
        </w:rPr>
      </w:pPr>
      <w:r>
        <w:rPr>
          <w:rFonts w:hint="eastAsia" w:ascii="Times New Roman" w:hAnsi="Times New Roman"/>
        </w:rPr>
        <w:t>矿区</w:t>
      </w:r>
      <w:r>
        <w:rPr>
          <w:rFonts w:ascii="Times New Roman" w:hAnsi="Times New Roman"/>
        </w:rPr>
        <w:t>植被类型图                                 1:2000</w:t>
      </w:r>
    </w:p>
    <w:p>
      <w:pPr>
        <w:pStyle w:val="2"/>
        <w:rPr>
          <w:rFonts w:ascii="Times New Roman" w:hAnsi="Times New Roman"/>
        </w:rPr>
      </w:pPr>
      <w:r>
        <w:rPr>
          <w:rFonts w:ascii="Times New Roman" w:hAnsi="Times New Roman"/>
        </w:rPr>
        <w:t>4   山西省五台县安顺源石料有限公司建筑石料用灰岩矿</w:t>
      </w:r>
    </w:p>
    <w:p>
      <w:pPr>
        <w:pStyle w:val="2"/>
        <w:ind w:firstLine="1068" w:firstLineChars="411"/>
        <w:rPr>
          <w:rFonts w:ascii="Times New Roman" w:hAnsi="Times New Roman"/>
        </w:rPr>
      </w:pPr>
      <w:r>
        <w:rPr>
          <w:rFonts w:hint="eastAsia" w:ascii="Times New Roman" w:hAnsi="Times New Roman"/>
        </w:rPr>
        <w:t>矿山</w:t>
      </w:r>
      <w:r>
        <w:rPr>
          <w:rFonts w:ascii="Times New Roman" w:hAnsi="Times New Roman"/>
        </w:rPr>
        <w:t>生态环境恢复治理工程规划图           1:2000</w:t>
      </w:r>
    </w:p>
    <w:p>
      <w:pPr>
        <w:pStyle w:val="2"/>
        <w:rPr>
          <w:rFonts w:ascii="Times New Roman" w:hAnsi="Times New Roman"/>
        </w:rPr>
      </w:pPr>
    </w:p>
    <w:p>
      <w:pPr>
        <w:pStyle w:val="2"/>
        <w:rPr>
          <w:rFonts w:ascii="Times New Roman" w:hAnsi="Times New Roman"/>
          <w:b/>
        </w:rPr>
      </w:pPr>
    </w:p>
    <w:p>
      <w:pPr>
        <w:pStyle w:val="2"/>
        <w:rPr>
          <w:rFonts w:ascii="Times New Roman" w:hAnsi="Times New Roman"/>
          <w:b/>
        </w:rPr>
      </w:pPr>
    </w:p>
    <w:p>
      <w:pPr>
        <w:pStyle w:val="2"/>
        <w:rPr>
          <w:rFonts w:ascii="Times New Roman" w:hAnsi="Times New Roman"/>
          <w:b/>
        </w:rPr>
      </w:pPr>
    </w:p>
    <w:p>
      <w:pPr>
        <w:pStyle w:val="2"/>
        <w:rPr>
          <w:rFonts w:ascii="Times New Roman" w:hAnsi="Times New Roman"/>
          <w:b/>
        </w:rPr>
      </w:pPr>
    </w:p>
    <w:p>
      <w:pPr>
        <w:pStyle w:val="2"/>
        <w:rPr>
          <w:rFonts w:ascii="Times New Roman" w:hAnsi="Times New Roman"/>
          <w:b/>
        </w:rPr>
      </w:pPr>
    </w:p>
    <w:p>
      <w:pPr>
        <w:pStyle w:val="2"/>
        <w:rPr>
          <w:rFonts w:ascii="Times New Roman" w:hAnsi="Times New Roman"/>
          <w:b/>
        </w:rPr>
      </w:pPr>
    </w:p>
    <w:p>
      <w:pPr>
        <w:pStyle w:val="2"/>
        <w:rPr>
          <w:rFonts w:ascii="Times New Roman" w:hAnsi="Times New Roman"/>
          <w:b/>
        </w:rPr>
      </w:pPr>
    </w:p>
    <w:p>
      <w:pPr>
        <w:pStyle w:val="2"/>
        <w:rPr>
          <w:rFonts w:ascii="Times New Roman" w:hAnsi="Times New Roman"/>
          <w:b/>
        </w:rPr>
      </w:pPr>
    </w:p>
    <w:p>
      <w:pPr>
        <w:pStyle w:val="2"/>
        <w:rPr>
          <w:rFonts w:ascii="Times New Roman" w:hAnsi="Times New Roman"/>
          <w:b/>
        </w:rPr>
      </w:pPr>
    </w:p>
    <w:p>
      <w:pPr>
        <w:pStyle w:val="2"/>
        <w:rPr>
          <w:rFonts w:ascii="Times New Roman" w:hAnsi="Times New Roman"/>
          <w:b/>
        </w:rPr>
      </w:pPr>
    </w:p>
    <w:p>
      <w:pPr>
        <w:pStyle w:val="2"/>
        <w:rPr>
          <w:rFonts w:ascii="Times New Roman" w:hAnsi="Times New Roman"/>
          <w:b/>
        </w:rPr>
      </w:pPr>
    </w:p>
    <w:p>
      <w:pPr>
        <w:pStyle w:val="2"/>
        <w:rPr>
          <w:rFonts w:ascii="Times New Roman" w:hAnsi="Times New Roman"/>
          <w:b/>
        </w:rPr>
      </w:pPr>
    </w:p>
    <w:p>
      <w:pPr>
        <w:pStyle w:val="2"/>
        <w:rPr>
          <w:rFonts w:ascii="Times New Roman" w:hAnsi="Times New Roman"/>
          <w:b/>
        </w:rPr>
      </w:pPr>
    </w:p>
    <w:p>
      <w:pPr>
        <w:pStyle w:val="2"/>
        <w:rPr>
          <w:rFonts w:ascii="Times New Roman" w:hAnsi="Times New Roman"/>
          <w:b/>
        </w:rPr>
      </w:pPr>
    </w:p>
    <w:p>
      <w:pPr>
        <w:pStyle w:val="2"/>
        <w:rPr>
          <w:rFonts w:ascii="Times New Roman" w:hAnsi="Times New Roman"/>
          <w:b/>
        </w:rPr>
      </w:pPr>
    </w:p>
    <w:p>
      <w:pPr>
        <w:pStyle w:val="2"/>
        <w:rPr>
          <w:rFonts w:ascii="Times New Roman" w:hAnsi="Times New Roman"/>
          <w:b/>
        </w:rPr>
      </w:pPr>
      <w:r>
        <w:rPr>
          <w:rFonts w:ascii="Times New Roman" w:hAnsi="Times New Roman"/>
          <w:b/>
        </w:rPr>
        <w:t>附     件</w:t>
      </w:r>
    </w:p>
    <w:p>
      <w:pPr>
        <w:pStyle w:val="2"/>
        <w:rPr>
          <w:rFonts w:ascii="Times New Roman" w:hAnsi="Times New Roman"/>
        </w:rPr>
      </w:pPr>
      <w:r>
        <w:rPr>
          <w:rFonts w:hint="eastAsia" w:ascii="Times New Roman" w:hAnsi="Times New Roman"/>
        </w:rPr>
        <w:t>1</w:t>
      </w:r>
      <w:r>
        <w:rPr>
          <w:rFonts w:ascii="Times New Roman" w:hAnsi="Times New Roman"/>
        </w:rPr>
        <w:t>、采矿许可证副本复印件</w:t>
      </w:r>
    </w:p>
    <w:p>
      <w:pPr>
        <w:pStyle w:val="2"/>
        <w:rPr>
          <w:rFonts w:ascii="Times New Roman" w:hAnsi="Times New Roman"/>
        </w:rPr>
      </w:pPr>
      <w:r>
        <w:rPr>
          <w:rFonts w:hint="eastAsia" w:ascii="Times New Roman" w:hAnsi="Times New Roman"/>
        </w:rPr>
        <w:t>2</w:t>
      </w:r>
      <w:r>
        <w:rPr>
          <w:rFonts w:ascii="Times New Roman" w:hAnsi="Times New Roman"/>
        </w:rPr>
        <w:t>、安全生产许可证</w:t>
      </w:r>
    </w:p>
    <w:p>
      <w:pPr>
        <w:pStyle w:val="2"/>
        <w:rPr>
          <w:rFonts w:ascii="Times New Roman" w:hAnsi="Times New Roman"/>
        </w:rPr>
      </w:pPr>
      <w:r>
        <w:rPr>
          <w:rFonts w:hint="eastAsia" w:ascii="Times New Roman" w:hAnsi="Times New Roman"/>
        </w:rPr>
        <w:t>3、排污许可证</w:t>
      </w:r>
    </w:p>
    <w:p>
      <w:pPr>
        <w:pStyle w:val="2"/>
        <w:rPr>
          <w:rFonts w:ascii="Times New Roman" w:hAnsi="Times New Roman"/>
        </w:rPr>
      </w:pPr>
      <w:r>
        <w:rPr>
          <w:rFonts w:hint="eastAsia" w:ascii="Times New Roman" w:hAnsi="Times New Roman"/>
        </w:rPr>
        <w:t>4、</w:t>
      </w:r>
      <w:r>
        <w:rPr>
          <w:rFonts w:ascii="Times New Roman" w:hAnsi="Times New Roman"/>
        </w:rPr>
        <w:t>矿山企业承诺书</w:t>
      </w:r>
    </w:p>
    <w:p>
      <w:pPr>
        <w:pStyle w:val="2"/>
        <w:rPr>
          <w:rFonts w:ascii="Times New Roman" w:hAnsi="Times New Roman"/>
        </w:rPr>
      </w:pPr>
      <w:r>
        <w:rPr>
          <w:rFonts w:hint="eastAsia" w:ascii="Times New Roman" w:hAnsi="Times New Roman"/>
        </w:rPr>
        <w:t>5</w:t>
      </w:r>
      <w:r>
        <w:rPr>
          <w:rFonts w:ascii="Times New Roman" w:hAnsi="Times New Roman"/>
        </w:rPr>
        <w:t>、编制单位营业执照</w:t>
      </w:r>
    </w:p>
    <w:p>
      <w:pPr>
        <w:pStyle w:val="2"/>
        <w:rPr>
          <w:rFonts w:ascii="Times New Roman" w:hAnsi="Times New Roman"/>
        </w:rPr>
      </w:pPr>
      <w:r>
        <w:rPr>
          <w:rFonts w:hint="eastAsia" w:ascii="Times New Roman" w:hAnsi="Times New Roman"/>
        </w:rPr>
        <w:t>6</w:t>
      </w:r>
      <w:r>
        <w:rPr>
          <w:rFonts w:ascii="Times New Roman" w:hAnsi="Times New Roman"/>
        </w:rPr>
        <w:t>、五国土资[2017]48号五台县国土资源局《关于五台县安顺源石料有限公司申请变更采矿权人与矿山企业名称的审查意见》</w:t>
      </w:r>
    </w:p>
    <w:p>
      <w:pPr>
        <w:pStyle w:val="2"/>
        <w:rPr>
          <w:rFonts w:ascii="Times New Roman" w:hAnsi="Times New Roman"/>
        </w:rPr>
      </w:pPr>
      <w:r>
        <w:rPr>
          <w:rFonts w:hint="eastAsia" w:ascii="Times New Roman" w:hAnsi="Times New Roman"/>
        </w:rPr>
        <w:t>7</w:t>
      </w:r>
      <w:r>
        <w:rPr>
          <w:rFonts w:ascii="Times New Roman" w:hAnsi="Times New Roman"/>
        </w:rPr>
        <w:t>、忻国土资发[2013]151号忻州市国土资源局关于《山西省五台县高洪口乡河口村</w:t>
      </w:r>
      <w:r>
        <w:rPr>
          <w:rFonts w:hint="eastAsia" w:ascii="Times New Roman" w:hAnsi="Times New Roman"/>
        </w:rPr>
        <w:t>鑫海</w:t>
      </w:r>
      <w:r>
        <w:rPr>
          <w:rFonts w:ascii="Times New Roman" w:hAnsi="Times New Roman"/>
        </w:rPr>
        <w:t>石料厂建筑石料用灰岩矿资源储量核实报告》资源储量备案的批复</w:t>
      </w:r>
    </w:p>
    <w:p>
      <w:pPr>
        <w:pStyle w:val="2"/>
        <w:rPr>
          <w:rFonts w:ascii="Times New Roman" w:hAnsi="Times New Roman"/>
        </w:rPr>
      </w:pPr>
      <w:r>
        <w:rPr>
          <w:rFonts w:hint="eastAsia" w:ascii="Times New Roman" w:hAnsi="Times New Roman"/>
        </w:rPr>
        <w:t>8</w:t>
      </w:r>
      <w:r>
        <w:rPr>
          <w:rFonts w:ascii="Times New Roman" w:hAnsi="Times New Roman"/>
        </w:rPr>
        <w:t>、忻评审储字[2013]009号《山西省五台县高洪口乡河口村</w:t>
      </w:r>
      <w:r>
        <w:rPr>
          <w:rFonts w:hint="eastAsia" w:ascii="Times New Roman" w:hAnsi="Times New Roman"/>
        </w:rPr>
        <w:t>鑫海</w:t>
      </w:r>
      <w:r>
        <w:rPr>
          <w:rFonts w:ascii="Times New Roman" w:hAnsi="Times New Roman"/>
        </w:rPr>
        <w:t>石料厂建筑石料用灰岩矿资源储量核实报告》评审意见书</w:t>
      </w:r>
    </w:p>
    <w:p>
      <w:pPr>
        <w:pStyle w:val="2"/>
        <w:rPr>
          <w:rFonts w:ascii="Times New Roman" w:hAnsi="Times New Roman"/>
        </w:rPr>
      </w:pPr>
      <w:r>
        <w:rPr>
          <w:rFonts w:hint="eastAsia" w:ascii="Times New Roman" w:hAnsi="Times New Roman"/>
        </w:rPr>
        <w:t>9</w:t>
      </w:r>
      <w:r>
        <w:rPr>
          <w:rFonts w:ascii="Times New Roman" w:hAnsi="Times New Roman"/>
        </w:rPr>
        <w:t>、</w:t>
      </w:r>
      <w:r>
        <w:t>五台县</w:t>
      </w:r>
      <w:r>
        <w:rPr>
          <w:rFonts w:hint="eastAsia"/>
        </w:rPr>
        <w:t>高洪口</w:t>
      </w:r>
      <w:r>
        <w:t>乡河口村鑫海石料厂石灰岩新建项目环境影响</w:t>
      </w:r>
      <w:r>
        <w:rPr>
          <w:rFonts w:hint="eastAsia"/>
        </w:rPr>
        <w:t>登记</w:t>
      </w:r>
      <w:r>
        <w:t>表</w:t>
      </w:r>
    </w:p>
    <w:p>
      <w:pPr>
        <w:pStyle w:val="2"/>
        <w:rPr>
          <w:rFonts w:ascii="Times New Roman" w:hAnsi="Times New Roman"/>
        </w:rPr>
      </w:pPr>
      <w:r>
        <w:rPr>
          <w:rFonts w:hint="eastAsia" w:ascii="Times New Roman" w:hAnsi="Times New Roman"/>
        </w:rPr>
        <w:t>10、三合一</w:t>
      </w:r>
      <w:r>
        <w:rPr>
          <w:rFonts w:ascii="Times New Roman" w:hAnsi="Times New Roman"/>
        </w:rPr>
        <w:t>评审意见</w:t>
      </w:r>
    </w:p>
    <w:p>
      <w:pPr>
        <w:pStyle w:val="2"/>
        <w:rPr>
          <w:rFonts w:ascii="Times New Roman" w:hAnsi="Times New Roman"/>
        </w:rPr>
      </w:pPr>
      <w:r>
        <w:rPr>
          <w:rFonts w:hint="eastAsia" w:ascii="Times New Roman" w:hAnsi="Times New Roman"/>
        </w:rPr>
        <w:t>11</w:t>
      </w:r>
      <w:r>
        <w:rPr>
          <w:rFonts w:ascii="Times New Roman" w:hAnsi="Times New Roman"/>
        </w:rPr>
        <w:t>、购土协议</w:t>
      </w:r>
    </w:p>
    <w:p>
      <w:pPr>
        <w:pStyle w:val="2"/>
        <w:rPr>
          <w:rFonts w:ascii="Times New Roman" w:hAnsi="Times New Roman"/>
        </w:rPr>
      </w:pPr>
      <w:r>
        <w:rPr>
          <w:rFonts w:hint="eastAsia" w:ascii="Times New Roman" w:hAnsi="Times New Roman"/>
        </w:rPr>
        <w:t>12、</w:t>
      </w:r>
      <w:r>
        <w:rPr>
          <w:rFonts w:ascii="Times New Roman" w:hAnsi="Times New Roman"/>
        </w:rPr>
        <w:t>六部门核查意见</w:t>
      </w:r>
    </w:p>
    <w:p>
      <w:pPr>
        <w:pStyle w:val="2"/>
        <w:rPr>
          <w:rFonts w:ascii="Times New Roman" w:hAnsi="Times New Roman" w:cs="Times New Roman"/>
        </w:rPr>
      </w:pPr>
    </w:p>
    <w:p>
      <w:pPr>
        <w:pStyle w:val="2"/>
        <w:rPr>
          <w:rFonts w:ascii="Times New Roman" w:hAnsi="Times New Roman" w:cs="Times New Roman"/>
        </w:rPr>
      </w:pPr>
    </w:p>
    <w:p>
      <w:pPr>
        <w:pStyle w:val="2"/>
        <w:rPr>
          <w:rFonts w:ascii="Times New Roman" w:hAnsi="Times New Roman" w:cs="Times New Roman"/>
        </w:rPr>
      </w:pPr>
    </w:p>
    <w:p>
      <w:pPr>
        <w:pStyle w:val="2"/>
        <w:rPr>
          <w:rFonts w:ascii="Times New Roman" w:hAnsi="Times New Roman" w:cs="Times New Roman"/>
        </w:rPr>
      </w:pPr>
    </w:p>
    <w:p>
      <w:pPr>
        <w:pStyle w:val="2"/>
        <w:rPr>
          <w:rFonts w:ascii="Times New Roman" w:hAnsi="Times New Roman" w:cs="Times New Roman"/>
        </w:rPr>
      </w:pPr>
    </w:p>
    <w:p>
      <w:pPr>
        <w:pStyle w:val="2"/>
        <w:rPr>
          <w:rFonts w:ascii="Times New Roman" w:hAnsi="Times New Roman" w:cs="Times New Roman"/>
        </w:rPr>
      </w:pPr>
    </w:p>
    <w:p>
      <w:pPr>
        <w:pStyle w:val="2"/>
        <w:rPr>
          <w:rFonts w:ascii="Times New Roman" w:hAnsi="Times New Roman" w:cs="Times New Roman"/>
        </w:rPr>
      </w:pPr>
    </w:p>
    <w:p>
      <w:pPr>
        <w:pStyle w:val="2"/>
        <w:rPr>
          <w:rFonts w:ascii="Times New Roman" w:hAnsi="Times New Roman" w:cs="Times New Roman"/>
        </w:rPr>
      </w:pPr>
    </w:p>
    <w:p>
      <w:pPr>
        <w:pStyle w:val="2"/>
        <w:rPr>
          <w:rFonts w:ascii="Times New Roman" w:hAnsi="Times New Roman" w:cs="Times New Roman"/>
        </w:rPr>
      </w:pPr>
    </w:p>
    <w:p>
      <w:pPr>
        <w:pStyle w:val="2"/>
        <w:rPr>
          <w:rFonts w:ascii="Times New Roman" w:hAnsi="Times New Roman" w:cs="Times New Roman"/>
        </w:rPr>
      </w:pPr>
    </w:p>
    <w:p>
      <w:pPr>
        <w:pStyle w:val="2"/>
        <w:ind w:firstLine="0"/>
        <w:rPr>
          <w:rFonts w:ascii="Times New Roman" w:hAnsi="Times New Roman" w:cs="Times New Roman"/>
        </w:rPr>
        <w:sectPr>
          <w:pgSz w:w="11906" w:h="16838"/>
          <w:pgMar w:top="1417" w:right="1417" w:bottom="1417" w:left="1417" w:header="851" w:footer="992" w:gutter="0"/>
          <w:cols w:space="425" w:num="1"/>
          <w:docGrid w:type="lines" w:linePitch="312" w:charSpace="0"/>
        </w:sectPr>
      </w:pPr>
    </w:p>
    <w:p>
      <w:pPr>
        <w:pStyle w:val="3"/>
        <w:spacing w:afterLines="100"/>
        <w:rPr>
          <w:rFonts w:ascii="Times New Roman" w:hAnsi="Times New Roman"/>
        </w:rPr>
      </w:pPr>
      <w:bookmarkStart w:id="0" w:name="_Toc71036621"/>
      <w:r>
        <w:rPr>
          <w:rFonts w:ascii="Times New Roman" w:hAnsi="Times New Roman"/>
        </w:rPr>
        <w:t xml:space="preserve">1  </w:t>
      </w:r>
      <w:r>
        <w:rPr>
          <w:rFonts w:ascii="Times New Roman"/>
        </w:rPr>
        <w:t>总论</w:t>
      </w:r>
      <w:bookmarkEnd w:id="0"/>
    </w:p>
    <w:p>
      <w:pPr>
        <w:pStyle w:val="4"/>
        <w:rPr>
          <w:rFonts w:ascii="Times New Roman" w:hAnsi="Times New Roman"/>
        </w:rPr>
      </w:pPr>
      <w:bookmarkStart w:id="1" w:name="_Toc71036622"/>
      <w:r>
        <w:rPr>
          <w:rFonts w:ascii="Times New Roman" w:hAnsi="Times New Roman"/>
        </w:rPr>
        <w:t xml:space="preserve">1.1  </w:t>
      </w:r>
      <w:r>
        <w:rPr>
          <w:rFonts w:ascii="Times New Roman"/>
        </w:rPr>
        <w:t>任务的由来</w:t>
      </w:r>
      <w:bookmarkEnd w:id="1"/>
    </w:p>
    <w:p>
      <w:pPr>
        <w:ind w:firstLine="480"/>
        <w:rPr>
          <w:rFonts w:ascii="Times New Roman" w:hAnsi="Times New Roman"/>
        </w:rPr>
      </w:pPr>
      <w:r>
        <w:rPr>
          <w:rFonts w:ascii="Times New Roman" w:hAnsi="Times New Roman"/>
          <w:bCs/>
          <w:szCs w:val="24"/>
        </w:rPr>
        <w:t>按照《中华人民共和国环境保护法》第三十条“开发利用自然资源，应当合理开发，保护生物多样性，保障生态安全，依法制定有关生态保护和恢复治理方案并予以实施”要求，2012年12月，环境保护办公厅以环办【2012】154号“关于印发《矿山生态环境保护与恢复治理方案编制导则》的通知”，将矿山生态环境保护与恢复治理方案的编制工作进一步规范化，并将此项工作在全国范围内推开。</w:t>
      </w:r>
    </w:p>
    <w:p>
      <w:pPr>
        <w:ind w:firstLine="480"/>
        <w:rPr>
          <w:rFonts w:ascii="Times New Roman" w:hAnsi="Times New Roman"/>
          <w:bCs/>
          <w:szCs w:val="24"/>
        </w:rPr>
      </w:pPr>
      <w:r>
        <w:rPr>
          <w:rFonts w:ascii="Times New Roman" w:hAnsi="Times New Roman"/>
          <w:bCs/>
          <w:szCs w:val="24"/>
        </w:rPr>
        <w:t>2017年12月26日，山西省环境保护厅下发关于进一步做好《矿山生态环境保护与恢复治理方案》编制与实施工作的通知，依据《矿山生态环境保护与恢复治理方案编制导则》（环办【2012】154号）、《矿山生态环境保护与恢复治理技术规范（试行）》（HJ651-2013）、《矿山生态环境保护与恢复治理方案（规划）编制规范（试行）》（HJ652-2013），</w:t>
      </w:r>
      <w:r>
        <w:rPr>
          <w:rFonts w:ascii="Times New Roman" w:hAnsi="Times New Roman"/>
          <w:szCs w:val="24"/>
        </w:rPr>
        <w:t>五台县安顺源石料有限公司委托山西昊迪地质勘查技术服务有限责任公司</w:t>
      </w:r>
      <w:r>
        <w:rPr>
          <w:rFonts w:ascii="Times New Roman" w:hAnsi="Times New Roman"/>
          <w:bCs/>
          <w:szCs w:val="24"/>
        </w:rPr>
        <w:t>编制</w:t>
      </w:r>
      <w:r>
        <w:rPr>
          <w:rFonts w:ascii="Times New Roman" w:hAnsi="Times New Roman"/>
          <w:szCs w:val="24"/>
        </w:rPr>
        <w:t>《五台县安顺源石料有限公司矿山生态环境保护与恢复治理方案》</w:t>
      </w:r>
      <w:r>
        <w:rPr>
          <w:rFonts w:ascii="Times New Roman" w:hAnsi="Times New Roman"/>
          <w:bCs/>
          <w:szCs w:val="24"/>
        </w:rPr>
        <w:t>。</w:t>
      </w:r>
    </w:p>
    <w:p>
      <w:pPr>
        <w:pStyle w:val="4"/>
        <w:spacing w:before="260"/>
        <w:rPr>
          <w:rFonts w:ascii="Times New Roman" w:hAnsi="Times New Roman"/>
        </w:rPr>
      </w:pPr>
      <w:bookmarkStart w:id="2" w:name="_Toc71036623"/>
      <w:r>
        <w:rPr>
          <w:rFonts w:ascii="Times New Roman" w:hAnsi="Times New Roman"/>
        </w:rPr>
        <w:t xml:space="preserve">1.2  </w:t>
      </w:r>
      <w:r>
        <w:rPr>
          <w:rFonts w:ascii="Times New Roman"/>
        </w:rPr>
        <w:t>必要性和意义</w:t>
      </w:r>
      <w:bookmarkEnd w:id="2"/>
    </w:p>
    <w:p>
      <w:pPr>
        <w:autoSpaceDE w:val="0"/>
        <w:autoSpaceDN w:val="0"/>
        <w:adjustRightInd w:val="0"/>
        <w:ind w:firstLine="496"/>
        <w:rPr>
          <w:rFonts w:ascii="Times New Roman" w:hAnsi="Times New Roman"/>
          <w:szCs w:val="24"/>
        </w:rPr>
      </w:pPr>
      <w:r>
        <w:rPr>
          <w:rFonts w:ascii="Times New Roman" w:hAnsi="Times New Roman"/>
          <w:szCs w:val="24"/>
        </w:rPr>
        <w:t>矿业活动一方面为工业的发展提供基本的物质基础，另一方面扰动原有的生态结构，加速生态系统与环境间的物质循环过程，进而影响到整个矿区生态系统。</w:t>
      </w:r>
    </w:p>
    <w:p>
      <w:pPr>
        <w:ind w:firstLine="480"/>
        <w:rPr>
          <w:rFonts w:ascii="Times New Roman" w:hAnsi="Times New Roman"/>
          <w:bCs/>
          <w:szCs w:val="24"/>
        </w:rPr>
      </w:pPr>
      <w:r>
        <w:rPr>
          <w:rFonts w:ascii="Times New Roman" w:hAnsi="Times New Roman"/>
          <w:bCs/>
          <w:szCs w:val="24"/>
        </w:rPr>
        <w:t>生态环境是人类生存和发展的基本条件，是经济、</w:t>
      </w:r>
      <w:r>
        <w:fldChar w:fldCharType="begin"/>
      </w:r>
      <w:r>
        <w:instrText xml:space="preserve"> HYPERLINK "http://baike.baidu.com/view/391473.htm" \t "_blank" </w:instrText>
      </w:r>
      <w:r>
        <w:fldChar w:fldCharType="separate"/>
      </w:r>
      <w:r>
        <w:rPr>
          <w:rFonts w:ascii="Times New Roman" w:hAnsi="Times New Roman"/>
          <w:bCs/>
          <w:szCs w:val="24"/>
        </w:rPr>
        <w:t>社会发展</w:t>
      </w:r>
      <w:r>
        <w:rPr>
          <w:rFonts w:ascii="Times New Roman" w:hAnsi="Times New Roman"/>
          <w:bCs/>
          <w:szCs w:val="24"/>
        </w:rPr>
        <w:fldChar w:fldCharType="end"/>
      </w:r>
      <w:r>
        <w:rPr>
          <w:rFonts w:ascii="Times New Roman" w:hAnsi="Times New Roman"/>
          <w:bCs/>
          <w:szCs w:val="24"/>
        </w:rPr>
        <w:t>的基础。保护和建设好生态环境，实现可持续发展，是我国现代化建设中必须始终坚持的一项基本方针。</w:t>
      </w:r>
    </w:p>
    <w:p>
      <w:pPr>
        <w:widowControl/>
        <w:adjustRightInd w:val="0"/>
        <w:snapToGrid w:val="0"/>
        <w:ind w:firstLine="480"/>
        <w:rPr>
          <w:rFonts w:ascii="Times New Roman" w:hAnsi="Times New Roman"/>
          <w:bCs/>
          <w:szCs w:val="24"/>
        </w:rPr>
      </w:pPr>
      <w:r>
        <w:rPr>
          <w:rFonts w:ascii="Times New Roman" w:hAnsi="Times New Roman"/>
          <w:bCs/>
          <w:szCs w:val="24"/>
        </w:rPr>
        <w:t>面对严峻的生态形势，党和政府采取了一系列保护和改善生态环境的重要措施。《全国生态环境保护纲要》、《国务院关于落实科学发展观加强环境保护的决定》(国发[2005]39号)等重要文件及《全国生态保护“十三五”规划》、《山西省“十三五”环境保护规划》均确立了保护生态环境，加快建设资源节约型、环境友好型社会，促进经济发展与人口、资源、环境相协调的总体思路。</w:t>
      </w:r>
    </w:p>
    <w:p>
      <w:pPr>
        <w:ind w:firstLine="480"/>
        <w:rPr>
          <w:rFonts w:ascii="Times New Roman" w:hAnsi="Times New Roman"/>
          <w:bCs/>
          <w:szCs w:val="24"/>
        </w:rPr>
      </w:pPr>
      <w:r>
        <w:rPr>
          <w:rFonts w:ascii="Times New Roman" w:hAnsi="Times New Roman"/>
          <w:bCs/>
          <w:szCs w:val="24"/>
        </w:rPr>
        <w:t>习近平总书记提出，“要正确处理好经济发展同</w:t>
      </w:r>
      <w:r>
        <w:fldChar w:fldCharType="begin"/>
      </w:r>
      <w:r>
        <w:instrText xml:space="preserve"> HYPERLINK "http://www.yndtjj.com/list-1444.html" \t "_blank" </w:instrText>
      </w:r>
      <w:r>
        <w:fldChar w:fldCharType="separate"/>
      </w:r>
      <w:r>
        <w:rPr>
          <w:rFonts w:ascii="Times New Roman" w:hAnsi="Times New Roman"/>
          <w:bCs/>
          <w:szCs w:val="24"/>
        </w:rPr>
        <w:t>生态</w:t>
      </w:r>
      <w:r>
        <w:rPr>
          <w:rFonts w:ascii="Times New Roman" w:hAnsi="Times New Roman"/>
          <w:bCs/>
          <w:szCs w:val="24"/>
        </w:rPr>
        <w:fldChar w:fldCharType="end"/>
      </w:r>
      <w:r>
        <w:rPr>
          <w:rFonts w:ascii="Times New Roman" w:hAnsi="Times New Roman"/>
          <w:bCs/>
          <w:szCs w:val="24"/>
        </w:rPr>
        <w:t>环境保护的关系，牢固树立保护</w:t>
      </w:r>
      <w:r>
        <w:fldChar w:fldCharType="begin"/>
      </w:r>
      <w:r>
        <w:instrText xml:space="preserve"> HYPERLINK "http://www.yndtjj.com/list-1444.html" \t "_blank" </w:instrText>
      </w:r>
      <w:r>
        <w:fldChar w:fldCharType="separate"/>
      </w:r>
      <w:r>
        <w:rPr>
          <w:rFonts w:ascii="Times New Roman" w:hAnsi="Times New Roman"/>
          <w:bCs/>
          <w:szCs w:val="24"/>
        </w:rPr>
        <w:t>生态</w:t>
      </w:r>
      <w:r>
        <w:rPr>
          <w:rFonts w:ascii="Times New Roman" w:hAnsi="Times New Roman"/>
          <w:bCs/>
          <w:szCs w:val="24"/>
        </w:rPr>
        <w:fldChar w:fldCharType="end"/>
      </w:r>
      <w:r>
        <w:rPr>
          <w:rFonts w:ascii="Times New Roman" w:hAnsi="Times New Roman"/>
          <w:bCs/>
          <w:szCs w:val="24"/>
        </w:rPr>
        <w:t>环境就是保护生产力、改善</w:t>
      </w:r>
      <w:r>
        <w:fldChar w:fldCharType="begin"/>
      </w:r>
      <w:r>
        <w:instrText xml:space="preserve"> HYPERLINK "http://www.yndtjj.com/list-1444.html" \t "_blank" </w:instrText>
      </w:r>
      <w:r>
        <w:fldChar w:fldCharType="separate"/>
      </w:r>
      <w:r>
        <w:rPr>
          <w:rFonts w:ascii="Times New Roman" w:hAnsi="Times New Roman"/>
          <w:bCs/>
          <w:szCs w:val="24"/>
        </w:rPr>
        <w:t>生态</w:t>
      </w:r>
      <w:r>
        <w:rPr>
          <w:rFonts w:ascii="Times New Roman" w:hAnsi="Times New Roman"/>
          <w:bCs/>
          <w:szCs w:val="24"/>
        </w:rPr>
        <w:fldChar w:fldCharType="end"/>
      </w:r>
      <w:r>
        <w:rPr>
          <w:rFonts w:ascii="Times New Roman" w:hAnsi="Times New Roman"/>
          <w:bCs/>
          <w:szCs w:val="24"/>
        </w:rPr>
        <w:t>环境就是发展生产力的理念”。</w:t>
      </w:r>
    </w:p>
    <w:p>
      <w:pPr>
        <w:widowControl/>
        <w:adjustRightInd w:val="0"/>
        <w:snapToGrid w:val="0"/>
        <w:ind w:firstLine="480"/>
        <w:rPr>
          <w:rFonts w:ascii="Times New Roman" w:hAnsi="Times New Roman"/>
          <w:bCs/>
          <w:szCs w:val="24"/>
        </w:rPr>
      </w:pPr>
      <w:r>
        <w:rPr>
          <w:rFonts w:ascii="Times New Roman" w:hAnsi="Times New Roman"/>
          <w:bCs/>
          <w:szCs w:val="24"/>
        </w:rPr>
        <w:t>十八大生态环境建设举措之第三条提出，要加大自然生态系统和保护力度，要实施重大生态修复工程，增强生态产品生产能力，推进荒漠化、石漠化、水土流失综合治理，加快水利建设、加强防灾减灾体系建设，坚持预防为主、综合治理，以解决损害群众健康突出环境问题为重点，强化水、大气、土壤等污染防治。</w:t>
      </w:r>
    </w:p>
    <w:p>
      <w:pPr>
        <w:ind w:firstLine="480"/>
        <w:rPr>
          <w:rFonts w:ascii="Times New Roman" w:hAnsi="Times New Roman"/>
          <w:bCs/>
          <w:szCs w:val="24"/>
        </w:rPr>
      </w:pPr>
      <w:r>
        <w:rPr>
          <w:rFonts w:ascii="Times New Roman" w:hAnsi="Times New Roman"/>
          <w:bCs/>
          <w:szCs w:val="24"/>
        </w:rPr>
        <w:t>近年政府工作报告明确提出“坚持人与自然和谐发展，着力治理环境污染，生态文明建设取得明显成效”，树立绿水青山就是金山银山理念，以前所未有的决心和力度加强生态环境保护。</w:t>
      </w:r>
    </w:p>
    <w:p>
      <w:pPr>
        <w:ind w:firstLine="480"/>
        <w:rPr>
          <w:rFonts w:ascii="Times New Roman" w:hAnsi="Times New Roman"/>
          <w:bCs/>
          <w:szCs w:val="24"/>
        </w:rPr>
      </w:pPr>
      <w:r>
        <w:rPr>
          <w:rFonts w:ascii="Times New Roman" w:hAnsi="Times New Roman"/>
          <w:bCs/>
          <w:szCs w:val="24"/>
        </w:rPr>
        <w:t>《山西省十三五环境保护规划》提出，将加强资源开发利用监管，推进矿山生态修复。进一步建立和完善矿山生态环境保护法规和标准，建立符合省情的地方性法规和标准体系，为矿山生态环境保护管理建立法律标准支撑。加快历史遗留采煤沉陷区生态环境修复治理，开展全省矿山生态环境调查，实施矿山环境治理工程，全省历史遗留矿山环境综合治理率达到35%。加强矿山生态环境监管，严格矿山资源开发利用的全过程生态环境监管。严格环境影响评价和三同时制度，开展矿山生态环境专项检查，督促企业加强污染防治和生态修复。</w:t>
      </w:r>
    </w:p>
    <w:p>
      <w:pPr>
        <w:ind w:firstLine="480"/>
        <w:rPr>
          <w:rFonts w:ascii="Times New Roman" w:hAnsi="Times New Roman"/>
          <w:bCs/>
          <w:szCs w:val="24"/>
        </w:rPr>
      </w:pPr>
      <w:r>
        <w:rPr>
          <w:rFonts w:ascii="Times New Roman" w:hAnsi="Times New Roman"/>
          <w:bCs/>
          <w:szCs w:val="24"/>
        </w:rPr>
        <w:t>因此，本方案的实施将能对矿山生态环境得到改善，矿区环境质量进一步提升，同时将促进地方社会经济可持续发展。</w:t>
      </w:r>
    </w:p>
    <w:p>
      <w:pPr>
        <w:pStyle w:val="30"/>
        <w:spacing w:before="360" w:after="120"/>
        <w:rPr>
          <w:szCs w:val="30"/>
        </w:rPr>
      </w:pPr>
      <w:bookmarkStart w:id="3" w:name="_Toc517446389"/>
      <w:bookmarkStart w:id="4" w:name="_Toc256334910"/>
      <w:bookmarkStart w:id="5" w:name="_Toc6900"/>
      <w:bookmarkStart w:id="6" w:name="_Toc279699188"/>
      <w:bookmarkStart w:id="7" w:name="_Toc209886894"/>
      <w:bookmarkStart w:id="8" w:name="_Toc228617393"/>
      <w:bookmarkStart w:id="9" w:name="_Toc280364560"/>
      <w:bookmarkStart w:id="10" w:name="_Toc5518"/>
      <w:bookmarkStart w:id="11" w:name="_Toc517445043"/>
      <w:bookmarkStart w:id="12" w:name="_Toc517445817"/>
      <w:bookmarkStart w:id="13" w:name="_Toc71036624"/>
      <w:bookmarkStart w:id="14" w:name="_Toc231963425"/>
      <w:bookmarkStart w:id="15" w:name="_Toc261094378"/>
      <w:bookmarkStart w:id="16" w:name="_Toc517446075"/>
      <w:r>
        <w:rPr>
          <w:szCs w:val="30"/>
        </w:rPr>
        <w:t>1.3  编制依据</w:t>
      </w:r>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31"/>
        <w:spacing w:line="500" w:lineRule="exact"/>
      </w:pPr>
      <w:bookmarkStart w:id="17" w:name="_Toc517446076"/>
      <w:bookmarkStart w:id="18" w:name="_Toc333912762"/>
      <w:bookmarkStart w:id="19" w:name="_Toc517446390"/>
      <w:bookmarkStart w:id="20" w:name="_Toc71036625"/>
      <w:bookmarkStart w:id="21" w:name="_Toc959"/>
      <w:bookmarkStart w:id="22" w:name="_Toc517445818"/>
      <w:bookmarkStart w:id="23" w:name="_Toc517445044"/>
      <w:bookmarkStart w:id="24" w:name="_Toc280364564"/>
      <w:bookmarkStart w:id="25" w:name="_Toc32543"/>
      <w:bookmarkStart w:id="26" w:name="_Toc231963429"/>
      <w:bookmarkStart w:id="27" w:name="_Toc261094382"/>
      <w:bookmarkStart w:id="28" w:name="_Toc258340477"/>
      <w:bookmarkStart w:id="29" w:name="_Toc279699192"/>
      <w:r>
        <w:t>1.3.1 法律法规依据</w:t>
      </w:r>
      <w:bookmarkEnd w:id="17"/>
      <w:bookmarkEnd w:id="18"/>
      <w:bookmarkEnd w:id="19"/>
      <w:bookmarkEnd w:id="20"/>
      <w:bookmarkEnd w:id="21"/>
      <w:bookmarkEnd w:id="22"/>
      <w:bookmarkEnd w:id="23"/>
    </w:p>
    <w:p>
      <w:pPr>
        <w:ind w:firstLine="496"/>
        <w:rPr>
          <w:rFonts w:ascii="Times New Roman" w:hAnsi="Times New Roman"/>
          <w:szCs w:val="24"/>
        </w:rPr>
      </w:pPr>
      <w:r>
        <w:rPr>
          <w:rFonts w:ascii="Times New Roman" w:hAnsi="Times New Roman"/>
          <w:szCs w:val="24"/>
        </w:rPr>
        <w:t>（</w:t>
      </w:r>
      <w:r>
        <w:rPr>
          <w:rFonts w:hint="eastAsia" w:ascii="Times New Roman" w:hAnsi="Times New Roman"/>
          <w:szCs w:val="24"/>
        </w:rPr>
        <w:t>1</w:t>
      </w:r>
      <w:r>
        <w:rPr>
          <w:rFonts w:ascii="Times New Roman" w:hAnsi="Times New Roman"/>
          <w:szCs w:val="24"/>
        </w:rPr>
        <w:t>）《中华人民共和国矿产资源法》，全国人大，1996年8月；</w:t>
      </w:r>
    </w:p>
    <w:p>
      <w:pPr>
        <w:ind w:firstLine="496"/>
        <w:rPr>
          <w:rFonts w:ascii="Times New Roman" w:hAnsi="Times New Roman"/>
          <w:szCs w:val="24"/>
        </w:rPr>
      </w:pPr>
      <w:r>
        <w:rPr>
          <w:rFonts w:ascii="Times New Roman" w:hAnsi="Times New Roman"/>
          <w:szCs w:val="24"/>
        </w:rPr>
        <w:t>（</w:t>
      </w:r>
      <w:r>
        <w:rPr>
          <w:rFonts w:hint="eastAsia" w:ascii="Times New Roman" w:hAnsi="Times New Roman"/>
          <w:szCs w:val="24"/>
        </w:rPr>
        <w:t>2</w:t>
      </w:r>
      <w:r>
        <w:rPr>
          <w:rFonts w:ascii="Times New Roman" w:hAnsi="Times New Roman"/>
          <w:szCs w:val="24"/>
        </w:rPr>
        <w:t>）《中华人民共和国森林法》，全国人大，1998年4月29日；</w:t>
      </w:r>
    </w:p>
    <w:p>
      <w:pPr>
        <w:ind w:firstLine="496"/>
        <w:rPr>
          <w:rFonts w:ascii="Times New Roman" w:hAnsi="Times New Roman"/>
          <w:szCs w:val="24"/>
        </w:rPr>
      </w:pPr>
      <w:r>
        <w:rPr>
          <w:rFonts w:ascii="Times New Roman" w:hAnsi="Times New Roman"/>
          <w:szCs w:val="24"/>
        </w:rPr>
        <w:t>（</w:t>
      </w:r>
      <w:r>
        <w:rPr>
          <w:rFonts w:hint="eastAsia" w:ascii="Times New Roman" w:hAnsi="Times New Roman"/>
          <w:szCs w:val="24"/>
        </w:rPr>
        <w:t>3</w:t>
      </w:r>
      <w:r>
        <w:rPr>
          <w:rFonts w:ascii="Times New Roman" w:hAnsi="Times New Roman"/>
          <w:szCs w:val="24"/>
        </w:rPr>
        <w:t>）《中华人民共和国固体废物污染环境防治法》，全国人大，2005年4月；</w:t>
      </w:r>
    </w:p>
    <w:p>
      <w:pPr>
        <w:ind w:firstLine="496"/>
        <w:rPr>
          <w:rFonts w:ascii="Times New Roman" w:hAnsi="Times New Roman"/>
          <w:szCs w:val="24"/>
        </w:rPr>
      </w:pPr>
      <w:r>
        <w:rPr>
          <w:rFonts w:ascii="Times New Roman" w:hAnsi="Times New Roman"/>
          <w:szCs w:val="24"/>
        </w:rPr>
        <w:t>（</w:t>
      </w:r>
      <w:r>
        <w:rPr>
          <w:rFonts w:hint="eastAsia" w:ascii="Times New Roman" w:hAnsi="Times New Roman"/>
          <w:szCs w:val="24"/>
        </w:rPr>
        <w:t>4</w:t>
      </w:r>
      <w:r>
        <w:rPr>
          <w:rFonts w:ascii="Times New Roman" w:hAnsi="Times New Roman"/>
          <w:szCs w:val="24"/>
        </w:rPr>
        <w:t>）《中华人民共和国水土保持法》，全国人大，</w:t>
      </w:r>
      <w:r>
        <w:rPr>
          <w:rFonts w:hint="eastAsia" w:ascii="Times New Roman" w:hAnsi="Times New Roman"/>
          <w:szCs w:val="24"/>
        </w:rPr>
        <w:t>2010</w:t>
      </w:r>
      <w:r>
        <w:rPr>
          <w:rFonts w:ascii="Times New Roman" w:hAnsi="Times New Roman"/>
          <w:szCs w:val="24"/>
        </w:rPr>
        <w:t>年</w:t>
      </w:r>
      <w:r>
        <w:rPr>
          <w:rFonts w:hint="eastAsia" w:ascii="Times New Roman" w:hAnsi="Times New Roman"/>
          <w:szCs w:val="24"/>
        </w:rPr>
        <w:t>12</w:t>
      </w:r>
      <w:r>
        <w:rPr>
          <w:rFonts w:ascii="Times New Roman" w:hAnsi="Times New Roman"/>
          <w:szCs w:val="24"/>
        </w:rPr>
        <w:t>月29日；</w:t>
      </w:r>
    </w:p>
    <w:p>
      <w:pPr>
        <w:ind w:firstLine="496"/>
        <w:rPr>
          <w:rFonts w:ascii="Times New Roman" w:hAnsi="Times New Roman"/>
          <w:szCs w:val="24"/>
        </w:rPr>
      </w:pPr>
      <w:r>
        <w:rPr>
          <w:rFonts w:ascii="Times New Roman" w:hAnsi="Times New Roman"/>
          <w:szCs w:val="24"/>
        </w:rPr>
        <w:t>（5）《中华人民共和国环境保护法》，全国人大，2015年1月1日起实施；</w:t>
      </w:r>
    </w:p>
    <w:p>
      <w:pPr>
        <w:ind w:firstLine="496"/>
        <w:rPr>
          <w:rFonts w:ascii="Times New Roman" w:hAnsi="Times New Roman"/>
          <w:szCs w:val="24"/>
        </w:rPr>
      </w:pPr>
      <w:r>
        <w:rPr>
          <w:rFonts w:ascii="Times New Roman" w:hAnsi="Times New Roman"/>
          <w:szCs w:val="24"/>
        </w:rPr>
        <w:t>（6）《中华人民共和国大气污染防治法》，全国人大，2016年1月1日起实施；</w:t>
      </w:r>
    </w:p>
    <w:p>
      <w:pPr>
        <w:ind w:firstLine="496"/>
        <w:rPr>
          <w:rFonts w:ascii="Times New Roman" w:hAnsi="Times New Roman"/>
        </w:rPr>
      </w:pPr>
      <w:bookmarkStart w:id="30" w:name="_Hlk510192713"/>
      <w:r>
        <w:rPr>
          <w:rFonts w:ascii="Times New Roman" w:hAnsi="Times New Roman"/>
          <w:szCs w:val="24"/>
        </w:rPr>
        <w:t>（17）《中华人民共和国环境影响评价法》，全国人大，2016年9月1日施行；</w:t>
      </w:r>
    </w:p>
    <w:bookmarkEnd w:id="30"/>
    <w:p>
      <w:pPr>
        <w:ind w:firstLine="496"/>
        <w:rPr>
          <w:rFonts w:ascii="Times New Roman" w:hAnsi="Times New Roman"/>
          <w:szCs w:val="24"/>
        </w:rPr>
      </w:pPr>
      <w:r>
        <w:rPr>
          <w:rFonts w:ascii="Times New Roman" w:hAnsi="Times New Roman"/>
          <w:szCs w:val="24"/>
        </w:rPr>
        <w:t>（8）《中华人民共和国水污染防治法》，全国人大，2018年1月；</w:t>
      </w:r>
    </w:p>
    <w:p>
      <w:pPr>
        <w:ind w:firstLine="496"/>
        <w:rPr>
          <w:rFonts w:ascii="Times New Roman" w:hAnsi="Times New Roman"/>
          <w:szCs w:val="24"/>
        </w:rPr>
      </w:pPr>
      <w:r>
        <w:rPr>
          <w:rFonts w:ascii="Times New Roman" w:hAnsi="Times New Roman"/>
          <w:szCs w:val="24"/>
        </w:rPr>
        <w:t>（9）《全国生态环境保护纲要》，国发[2000]38号，国务院，2000年11月；</w:t>
      </w:r>
    </w:p>
    <w:p>
      <w:pPr>
        <w:ind w:firstLine="496"/>
        <w:rPr>
          <w:rFonts w:ascii="Times New Roman" w:hAnsi="Times New Roman"/>
          <w:szCs w:val="24"/>
        </w:rPr>
      </w:pPr>
      <w:r>
        <w:rPr>
          <w:rFonts w:ascii="Times New Roman" w:hAnsi="Times New Roman"/>
          <w:szCs w:val="24"/>
        </w:rPr>
        <w:t>（10）《关于加强资源开发生态环境保护监管工作的意见》，环发[2004]24号，国家环境保护总局，2004年2月；</w:t>
      </w:r>
    </w:p>
    <w:p>
      <w:pPr>
        <w:ind w:firstLine="496"/>
        <w:rPr>
          <w:rFonts w:ascii="Times New Roman" w:hAnsi="Times New Roman"/>
          <w:szCs w:val="24"/>
        </w:rPr>
      </w:pPr>
      <w:r>
        <w:rPr>
          <w:rFonts w:ascii="Times New Roman" w:hAnsi="Times New Roman"/>
          <w:szCs w:val="24"/>
        </w:rPr>
        <w:t>（11）《土地复垦条例》，国务院，2011年3月。</w:t>
      </w:r>
    </w:p>
    <w:p>
      <w:pPr>
        <w:pStyle w:val="31"/>
        <w:spacing w:line="500" w:lineRule="exact"/>
      </w:pPr>
      <w:bookmarkStart w:id="31" w:name="_Toc71036626"/>
      <w:r>
        <w:t>1.3.3相关规划</w:t>
      </w:r>
      <w:bookmarkEnd w:id="31"/>
    </w:p>
    <w:p>
      <w:pPr>
        <w:pStyle w:val="2"/>
        <w:rPr>
          <w:rFonts w:ascii="Times New Roman" w:hAnsi="Times New Roman" w:cs="Times New Roman"/>
        </w:rPr>
      </w:pPr>
      <w:r>
        <w:rPr>
          <w:rFonts w:ascii="Times New Roman" w:hAnsi="Times New Roman" w:cs="Times New Roman"/>
          <w:szCs w:val="24"/>
        </w:rPr>
        <w:t>（</w:t>
      </w:r>
      <w:r>
        <w:rPr>
          <w:rFonts w:hint="eastAsia" w:ascii="Times New Roman" w:hAnsi="Times New Roman" w:cs="Times New Roman"/>
          <w:szCs w:val="24"/>
        </w:rPr>
        <w:t>1</w:t>
      </w:r>
      <w:r>
        <w:rPr>
          <w:rFonts w:ascii="Times New Roman" w:hAnsi="Times New Roman" w:cs="Times New Roman"/>
          <w:szCs w:val="24"/>
        </w:rPr>
        <w:t>）</w:t>
      </w:r>
      <w:r>
        <w:rPr>
          <w:rFonts w:ascii="Times New Roman" w:hAnsi="Times New Roman" w:cs="Times New Roman"/>
          <w:bCs/>
          <w:szCs w:val="24"/>
        </w:rPr>
        <w:t>《山西省忻州市五台县矿山环境保护与恢复治理规划》。</w:t>
      </w:r>
    </w:p>
    <w:p>
      <w:pPr>
        <w:pStyle w:val="31"/>
        <w:spacing w:line="500" w:lineRule="exact"/>
      </w:pPr>
      <w:bookmarkStart w:id="32" w:name="_Toc26141"/>
      <w:bookmarkStart w:id="33" w:name="_Toc71036627"/>
      <w:bookmarkStart w:id="34" w:name="_Toc517445045"/>
      <w:bookmarkStart w:id="35" w:name="_Toc333912763"/>
      <w:bookmarkStart w:id="36" w:name="_Toc517446391"/>
      <w:bookmarkStart w:id="37" w:name="_Toc517446077"/>
      <w:bookmarkStart w:id="38" w:name="_Toc517445819"/>
      <w:r>
        <w:t>1.3.2相关技术文件及部门规章规范文件</w:t>
      </w:r>
      <w:bookmarkEnd w:id="32"/>
      <w:bookmarkEnd w:id="33"/>
      <w:bookmarkEnd w:id="34"/>
      <w:bookmarkEnd w:id="35"/>
      <w:bookmarkEnd w:id="36"/>
      <w:bookmarkEnd w:id="37"/>
      <w:bookmarkEnd w:id="38"/>
    </w:p>
    <w:p>
      <w:pPr>
        <w:ind w:firstLine="496"/>
        <w:rPr>
          <w:rFonts w:ascii="Times New Roman" w:hAnsi="Times New Roman"/>
          <w:szCs w:val="24"/>
        </w:rPr>
      </w:pPr>
      <w:r>
        <w:rPr>
          <w:rFonts w:ascii="Times New Roman" w:hAnsi="Times New Roman"/>
          <w:szCs w:val="24"/>
        </w:rPr>
        <w:t>1.3.2.1政策文件</w:t>
      </w:r>
    </w:p>
    <w:p>
      <w:pPr>
        <w:ind w:firstLine="496"/>
        <w:rPr>
          <w:rFonts w:ascii="Times New Roman" w:hAnsi="Times New Roman"/>
          <w:szCs w:val="24"/>
        </w:rPr>
      </w:pPr>
      <w:r>
        <w:rPr>
          <w:rFonts w:ascii="Times New Roman" w:hAnsi="Times New Roman"/>
          <w:szCs w:val="24"/>
        </w:rPr>
        <w:t>（1）《矿山生态环境保护与污染防治技术政策》，国家环境保护总局、国土资源部、科技部共同发布，2005年6月。</w:t>
      </w:r>
    </w:p>
    <w:p>
      <w:pPr>
        <w:pStyle w:val="2"/>
        <w:rPr>
          <w:rFonts w:ascii="Times New Roman" w:hAnsi="Times New Roman" w:cs="Times New Roman"/>
          <w:szCs w:val="24"/>
        </w:rPr>
      </w:pPr>
      <w:r>
        <w:rPr>
          <w:rFonts w:ascii="Times New Roman" w:hAnsi="Times New Roman" w:cs="Times New Roman"/>
          <w:szCs w:val="24"/>
        </w:rPr>
        <w:t>（2）《矿山生态环境保护与污染防治技术政策》，环发[2005]109号，国家环境保护总局，2005年10月；</w:t>
      </w:r>
    </w:p>
    <w:p>
      <w:pPr>
        <w:ind w:firstLine="496"/>
        <w:rPr>
          <w:rFonts w:ascii="Times New Roman" w:hAnsi="Times New Roman"/>
          <w:szCs w:val="24"/>
        </w:rPr>
      </w:pPr>
      <w:r>
        <w:rPr>
          <w:rFonts w:ascii="Times New Roman" w:hAnsi="Times New Roman"/>
          <w:szCs w:val="24"/>
        </w:rPr>
        <w:t>（3）山西省环境保护厅《关于印发〈山西省矿山生态环境恢复治理方案编制大纲〉（试行）的通知》，晋环发[2009]280号，山西省环境保护厅，2009年11月；</w:t>
      </w:r>
    </w:p>
    <w:p>
      <w:pPr>
        <w:ind w:firstLine="496"/>
        <w:rPr>
          <w:rFonts w:ascii="Times New Roman" w:hAnsi="Times New Roman"/>
          <w:szCs w:val="24"/>
        </w:rPr>
      </w:pPr>
      <w:r>
        <w:rPr>
          <w:rFonts w:ascii="Times New Roman" w:hAnsi="Times New Roman"/>
          <w:szCs w:val="24"/>
        </w:rPr>
        <w:t>（4）关于印发《矿山生态环境保护与恢复治理方案编制导则》的通知，环办[2012]154号，环境保护部办公厅，2012年12月24日；</w:t>
      </w:r>
    </w:p>
    <w:p>
      <w:pPr>
        <w:ind w:firstLine="496"/>
        <w:rPr>
          <w:rFonts w:ascii="Times New Roman" w:hAnsi="Times New Roman"/>
        </w:rPr>
      </w:pPr>
      <w:r>
        <w:rPr>
          <w:rFonts w:ascii="Times New Roman" w:hAnsi="Times New Roman"/>
          <w:szCs w:val="24"/>
        </w:rPr>
        <w:t>（5）关于进一步做好《矿山生态环境保护与恢复治理方案》编制与实施工作的通知，山西省环境保护厅，2017年12月26日。</w:t>
      </w:r>
    </w:p>
    <w:p>
      <w:pPr>
        <w:pStyle w:val="2"/>
        <w:rPr>
          <w:rFonts w:ascii="Times New Roman" w:hAnsi="Times New Roman" w:cs="Times New Roman"/>
        </w:rPr>
      </w:pPr>
      <w:r>
        <w:rPr>
          <w:rFonts w:ascii="Times New Roman" w:hAnsi="Times New Roman" w:cs="Times New Roman"/>
          <w:szCs w:val="24"/>
        </w:rPr>
        <w:t>1.3.2.2技术标准与规范</w:t>
      </w:r>
    </w:p>
    <w:p>
      <w:pPr>
        <w:ind w:firstLine="496"/>
        <w:rPr>
          <w:rFonts w:ascii="Times New Roman" w:hAnsi="Times New Roman"/>
          <w:szCs w:val="24"/>
        </w:rPr>
      </w:pPr>
      <w:r>
        <w:rPr>
          <w:rFonts w:ascii="Times New Roman" w:hAnsi="Times New Roman"/>
          <w:szCs w:val="24"/>
        </w:rPr>
        <w:t>（1）《生态公益林建设技术规程》(GB/T1B3372)，国家技术监督局，中华人民共和国技术部，1995年1月；</w:t>
      </w:r>
    </w:p>
    <w:p>
      <w:pPr>
        <w:ind w:firstLine="496"/>
        <w:rPr>
          <w:rFonts w:ascii="Times New Roman" w:hAnsi="Times New Roman"/>
          <w:szCs w:val="24"/>
        </w:rPr>
      </w:pPr>
      <w:r>
        <w:rPr>
          <w:rFonts w:ascii="Times New Roman" w:hAnsi="Times New Roman"/>
          <w:szCs w:val="24"/>
        </w:rPr>
        <w:t>（2）《滑坡防治工程设计与施工技术规范》(DZ/T 0240) ，中华人民共和国国土资源部，2006年11月；</w:t>
      </w:r>
    </w:p>
    <w:p>
      <w:pPr>
        <w:ind w:firstLine="496"/>
        <w:rPr>
          <w:rFonts w:ascii="Times New Roman" w:hAnsi="Times New Roman"/>
          <w:szCs w:val="24"/>
        </w:rPr>
      </w:pPr>
      <w:r>
        <w:rPr>
          <w:rFonts w:ascii="Times New Roman" w:hAnsi="Times New Roman"/>
          <w:szCs w:val="24"/>
        </w:rPr>
        <w:t>（3）《造林技术规程》（GB/T15776-2006），中华人民共和国国家质量监督检验总局，中国国家标准化管理委员会，2006年12月；</w:t>
      </w:r>
    </w:p>
    <w:p>
      <w:pPr>
        <w:ind w:firstLine="496"/>
        <w:rPr>
          <w:rFonts w:ascii="Times New Roman" w:hAnsi="Times New Roman"/>
          <w:szCs w:val="24"/>
        </w:rPr>
      </w:pPr>
      <w:r>
        <w:rPr>
          <w:rFonts w:ascii="Times New Roman" w:hAnsi="Times New Roman"/>
          <w:szCs w:val="24"/>
        </w:rPr>
        <w:t>（4）《水土保持综合治理技术规范荒地治理技术》(GB/T16453.2-2008)，中华人民共和国国家质量监督检验总局，中国国家标准化管理委员会，2009年2月；</w:t>
      </w:r>
    </w:p>
    <w:p>
      <w:pPr>
        <w:ind w:firstLine="496"/>
        <w:rPr>
          <w:rFonts w:ascii="Times New Roman" w:hAnsi="Times New Roman"/>
          <w:szCs w:val="24"/>
        </w:rPr>
      </w:pPr>
      <w:r>
        <w:rPr>
          <w:rFonts w:ascii="Times New Roman" w:hAnsi="Times New Roman"/>
          <w:szCs w:val="24"/>
        </w:rPr>
        <w:t>（5）中华人民共和国国家环境保护标准（HJ651-2013）《矿山生态环境保护与恢复治理技术规范（试行）》，2013年7月13日；</w:t>
      </w:r>
    </w:p>
    <w:p>
      <w:pPr>
        <w:ind w:firstLine="496"/>
        <w:rPr>
          <w:rFonts w:ascii="Times New Roman" w:hAnsi="Times New Roman"/>
          <w:szCs w:val="24"/>
        </w:rPr>
      </w:pPr>
      <w:r>
        <w:rPr>
          <w:rFonts w:ascii="Times New Roman" w:hAnsi="Times New Roman"/>
          <w:szCs w:val="24"/>
        </w:rPr>
        <w:t>（6）中华人民共和国国家环境保护标准（HJ652-2013）《矿山生态环境保护与恢复治理方案（规划）编制规范（试行）》，2013年7月13日；</w:t>
      </w:r>
    </w:p>
    <w:p>
      <w:pPr>
        <w:ind w:firstLine="496"/>
        <w:rPr>
          <w:rFonts w:ascii="Times New Roman" w:hAnsi="Times New Roman"/>
          <w:szCs w:val="24"/>
        </w:rPr>
      </w:pPr>
      <w:r>
        <w:rPr>
          <w:rFonts w:ascii="Times New Roman" w:hAnsi="Times New Roman"/>
          <w:szCs w:val="24"/>
        </w:rPr>
        <w:t>（7）《生态环境状况评价技术规范HJ 192-2015》，2015年03月16日；</w:t>
      </w:r>
    </w:p>
    <w:p>
      <w:pPr>
        <w:pStyle w:val="2"/>
      </w:pPr>
      <w:r>
        <w:rPr>
          <w:rFonts w:ascii="Times New Roman" w:hAnsi="Times New Roman"/>
          <w:szCs w:val="24"/>
        </w:rPr>
        <w:t>（</w:t>
      </w:r>
      <w:r>
        <w:rPr>
          <w:rFonts w:hint="eastAsia" w:ascii="Times New Roman" w:hAnsi="Times New Roman"/>
          <w:szCs w:val="24"/>
        </w:rPr>
        <w:t>8</w:t>
      </w:r>
      <w:r>
        <w:rPr>
          <w:rFonts w:ascii="Times New Roman" w:hAnsi="Times New Roman"/>
          <w:szCs w:val="24"/>
        </w:rPr>
        <w:t>）《</w:t>
      </w:r>
      <w:r>
        <w:rPr>
          <w:rFonts w:hint="eastAsia" w:ascii="Times New Roman" w:hAnsi="Times New Roman"/>
          <w:szCs w:val="24"/>
        </w:rPr>
        <w:t>生产建设项目水土保持技术标准</w:t>
      </w:r>
      <w:r>
        <w:rPr>
          <w:rFonts w:ascii="Times New Roman" w:hAnsi="Times New Roman"/>
          <w:szCs w:val="24"/>
        </w:rPr>
        <w:t>》(GB</w:t>
      </w:r>
      <w:r>
        <w:rPr>
          <w:rFonts w:hint="eastAsia" w:ascii="Times New Roman" w:hAnsi="Times New Roman"/>
          <w:szCs w:val="24"/>
        </w:rPr>
        <w:t xml:space="preserve"> 50433-2018</w:t>
      </w:r>
      <w:r>
        <w:rPr>
          <w:rFonts w:ascii="Times New Roman" w:hAnsi="Times New Roman"/>
          <w:szCs w:val="24"/>
        </w:rPr>
        <w:t>)，201</w:t>
      </w:r>
      <w:r>
        <w:rPr>
          <w:rFonts w:hint="eastAsia" w:ascii="Times New Roman" w:hAnsi="Times New Roman"/>
          <w:szCs w:val="24"/>
        </w:rPr>
        <w:t>9</w:t>
      </w:r>
      <w:r>
        <w:rPr>
          <w:rFonts w:ascii="Times New Roman" w:hAnsi="Times New Roman"/>
          <w:szCs w:val="24"/>
        </w:rPr>
        <w:t>年0</w:t>
      </w:r>
      <w:r>
        <w:rPr>
          <w:rFonts w:hint="eastAsia" w:ascii="Times New Roman" w:hAnsi="Times New Roman"/>
          <w:szCs w:val="24"/>
        </w:rPr>
        <w:t>4</w:t>
      </w:r>
      <w:r>
        <w:rPr>
          <w:rFonts w:ascii="Times New Roman" w:hAnsi="Times New Roman"/>
          <w:szCs w:val="24"/>
        </w:rPr>
        <w:t>月</w:t>
      </w:r>
      <w:r>
        <w:rPr>
          <w:rFonts w:hint="eastAsia" w:ascii="Times New Roman" w:hAnsi="Times New Roman"/>
          <w:szCs w:val="24"/>
        </w:rPr>
        <w:t>1</w:t>
      </w:r>
      <w:r>
        <w:rPr>
          <w:rFonts w:ascii="Times New Roman" w:hAnsi="Times New Roman"/>
          <w:szCs w:val="24"/>
        </w:rPr>
        <w:t>日实施</w:t>
      </w:r>
      <w:r>
        <w:rPr>
          <w:rFonts w:hint="eastAsia" w:ascii="Times New Roman" w:hAnsi="Times New Roman"/>
          <w:szCs w:val="24"/>
        </w:rPr>
        <w:t>。</w:t>
      </w:r>
    </w:p>
    <w:p>
      <w:pPr>
        <w:pStyle w:val="31"/>
        <w:spacing w:line="500" w:lineRule="exact"/>
      </w:pPr>
      <w:bookmarkStart w:id="39" w:name="_Toc71036628"/>
      <w:bookmarkStart w:id="40" w:name="_Toc4727"/>
      <w:bookmarkStart w:id="41" w:name="_Toc517445820"/>
      <w:bookmarkStart w:id="42" w:name="_Toc517446392"/>
      <w:bookmarkStart w:id="43" w:name="_Toc517446078"/>
      <w:bookmarkStart w:id="44" w:name="_Toc333912764"/>
      <w:bookmarkStart w:id="45" w:name="_Toc517445046"/>
      <w:r>
        <w:t>1.3.3投资估算依据</w:t>
      </w:r>
      <w:bookmarkEnd w:id="39"/>
      <w:bookmarkEnd w:id="40"/>
      <w:bookmarkEnd w:id="41"/>
      <w:bookmarkEnd w:id="42"/>
      <w:bookmarkEnd w:id="43"/>
      <w:bookmarkEnd w:id="44"/>
      <w:bookmarkEnd w:id="45"/>
    </w:p>
    <w:p>
      <w:pPr>
        <w:pStyle w:val="2"/>
        <w:rPr>
          <w:rFonts w:ascii="Times New Roman" w:hAnsi="Times New Roman" w:cs="Times New Roman" w:eastAsiaTheme="minorEastAsia"/>
        </w:rPr>
      </w:pPr>
      <w:r>
        <w:rPr>
          <w:rFonts w:ascii="Times New Roman" w:cs="Times New Roman" w:hAnsiTheme="minorEastAsia" w:eastAsiaTheme="minorEastAsia"/>
        </w:rPr>
        <w:t>（</w:t>
      </w:r>
      <w:r>
        <w:rPr>
          <w:rFonts w:ascii="Times New Roman" w:hAnsi="Times New Roman" w:cs="Times New Roman" w:eastAsiaTheme="minorEastAsia"/>
        </w:rPr>
        <w:t>1</w:t>
      </w:r>
      <w:r>
        <w:rPr>
          <w:rFonts w:ascii="Times New Roman" w:cs="Times New Roman" w:hAnsiTheme="minorEastAsia" w:eastAsiaTheme="minorEastAsia"/>
        </w:rPr>
        <w:t>）《土地开发整理项目预算定额》，</w:t>
      </w:r>
      <w:r>
        <w:rPr>
          <w:rFonts w:ascii="Times New Roman" w:hAnsi="Times New Roman" w:cs="Times New Roman" w:eastAsiaTheme="minorEastAsia"/>
        </w:rPr>
        <w:t>2012</w:t>
      </w:r>
      <w:r>
        <w:rPr>
          <w:rFonts w:ascii="Times New Roman" w:cs="Times New Roman" w:hAnsiTheme="minorEastAsia" w:eastAsiaTheme="minorEastAsia"/>
        </w:rPr>
        <w:t>；</w:t>
      </w:r>
    </w:p>
    <w:p>
      <w:pPr>
        <w:pStyle w:val="2"/>
        <w:rPr>
          <w:rFonts w:ascii="Times New Roman" w:hAnsi="Times New Roman" w:cs="Times New Roman" w:eastAsiaTheme="minorEastAsia"/>
        </w:rPr>
      </w:pPr>
      <w:r>
        <w:rPr>
          <w:rFonts w:ascii="Times New Roman" w:cs="Times New Roman" w:hAnsiTheme="minorEastAsia" w:eastAsiaTheme="minorEastAsia"/>
        </w:rPr>
        <w:t>（</w:t>
      </w:r>
      <w:r>
        <w:rPr>
          <w:rFonts w:ascii="Times New Roman" w:hAnsi="Times New Roman" w:cs="Times New Roman" w:eastAsiaTheme="minorEastAsia"/>
        </w:rPr>
        <w:t>2</w:t>
      </w:r>
      <w:r>
        <w:rPr>
          <w:rFonts w:ascii="Times New Roman" w:cs="Times New Roman" w:hAnsiTheme="minorEastAsia" w:eastAsiaTheme="minorEastAsia"/>
        </w:rPr>
        <w:t>）《土地开发整理项目施工机械台班费定额》，</w:t>
      </w:r>
      <w:r>
        <w:rPr>
          <w:rFonts w:ascii="Times New Roman" w:hAnsi="Times New Roman" w:cs="Times New Roman" w:eastAsiaTheme="minorEastAsia"/>
        </w:rPr>
        <w:t>2012</w:t>
      </w:r>
      <w:r>
        <w:rPr>
          <w:rFonts w:ascii="Times New Roman" w:cs="Times New Roman" w:hAnsiTheme="minorEastAsia" w:eastAsiaTheme="minorEastAsia"/>
        </w:rPr>
        <w:t>；</w:t>
      </w:r>
    </w:p>
    <w:p>
      <w:pPr>
        <w:pStyle w:val="2"/>
        <w:rPr>
          <w:rFonts w:ascii="Times New Roman" w:hAnsi="Times New Roman" w:cs="Times New Roman" w:eastAsiaTheme="minorEastAsia"/>
        </w:rPr>
      </w:pPr>
      <w:r>
        <w:rPr>
          <w:rFonts w:ascii="Times New Roman" w:cs="Times New Roman" w:hAnsiTheme="minorEastAsia" w:eastAsiaTheme="minorEastAsia"/>
        </w:rPr>
        <w:t>（</w:t>
      </w:r>
      <w:r>
        <w:rPr>
          <w:rFonts w:ascii="Times New Roman" w:hAnsi="Times New Roman" w:cs="Times New Roman" w:eastAsiaTheme="minorEastAsia"/>
        </w:rPr>
        <w:t>3</w:t>
      </w:r>
      <w:r>
        <w:rPr>
          <w:rFonts w:ascii="Times New Roman" w:cs="Times New Roman" w:hAnsiTheme="minorEastAsia" w:eastAsiaTheme="minorEastAsia"/>
        </w:rPr>
        <w:t>）《土地开发整理项目预算定额标准》，</w:t>
      </w:r>
      <w:r>
        <w:rPr>
          <w:rFonts w:ascii="Times New Roman" w:hAnsi="Times New Roman" w:cs="Times New Roman" w:eastAsiaTheme="minorEastAsia"/>
        </w:rPr>
        <w:t>2012</w:t>
      </w:r>
      <w:r>
        <w:rPr>
          <w:rFonts w:ascii="Times New Roman" w:cs="Times New Roman" w:hAnsiTheme="minorEastAsia" w:eastAsiaTheme="minorEastAsia"/>
        </w:rPr>
        <w:t>；</w:t>
      </w:r>
    </w:p>
    <w:p>
      <w:pPr>
        <w:pStyle w:val="2"/>
        <w:rPr>
          <w:rFonts w:ascii="Times New Roman" w:hAnsi="Times New Roman" w:cs="Times New Roman" w:eastAsiaTheme="minorEastAsia"/>
        </w:rPr>
      </w:pPr>
      <w:r>
        <w:rPr>
          <w:rFonts w:ascii="Times New Roman" w:cs="Times New Roman" w:hAnsiTheme="minorEastAsia" w:eastAsiaTheme="minorEastAsia"/>
        </w:rPr>
        <w:t>（</w:t>
      </w:r>
      <w:r>
        <w:rPr>
          <w:rFonts w:ascii="Times New Roman" w:hAnsi="Times New Roman" w:cs="Times New Roman" w:eastAsiaTheme="minorEastAsia"/>
        </w:rPr>
        <w:t>4</w:t>
      </w:r>
      <w:r>
        <w:rPr>
          <w:rFonts w:ascii="Times New Roman" w:cs="Times New Roman" w:hAnsiTheme="minorEastAsia" w:eastAsiaTheme="minorEastAsia"/>
        </w:rPr>
        <w:t>）《关于印发土地整治工程营业税改征增值税计价依据调整过渡实施方案的通知》国土资厅发〔</w:t>
      </w:r>
      <w:r>
        <w:rPr>
          <w:rFonts w:ascii="Times New Roman" w:hAnsi="Times New Roman" w:cs="Times New Roman" w:eastAsiaTheme="minorEastAsia"/>
        </w:rPr>
        <w:t>2017</w:t>
      </w:r>
      <w:r>
        <w:rPr>
          <w:rFonts w:ascii="Times New Roman" w:cs="Times New Roman" w:hAnsiTheme="minorEastAsia" w:eastAsiaTheme="minorEastAsia"/>
        </w:rPr>
        <w:t>〕</w:t>
      </w:r>
      <w:r>
        <w:rPr>
          <w:rFonts w:ascii="Times New Roman" w:hAnsi="Times New Roman" w:cs="Times New Roman" w:eastAsiaTheme="minorEastAsia"/>
        </w:rPr>
        <w:t>19</w:t>
      </w:r>
      <w:r>
        <w:rPr>
          <w:rFonts w:ascii="Times New Roman" w:cs="Times New Roman" w:hAnsiTheme="minorEastAsia" w:eastAsiaTheme="minorEastAsia"/>
        </w:rPr>
        <w:t>号文；</w:t>
      </w:r>
    </w:p>
    <w:p>
      <w:pPr>
        <w:ind w:firstLine="493"/>
        <w:rPr>
          <w:rFonts w:ascii="Times New Roman" w:hAnsi="Times New Roman"/>
        </w:rPr>
      </w:pPr>
      <w:r>
        <w:rPr>
          <w:rFonts w:ascii="Times New Roman" w:hAnsiTheme="minorEastAsia" w:eastAsiaTheme="minorEastAsia"/>
        </w:rPr>
        <w:t>（</w:t>
      </w:r>
      <w:r>
        <w:rPr>
          <w:rFonts w:ascii="Times New Roman" w:hAnsi="Times New Roman" w:eastAsiaTheme="minorEastAsia"/>
        </w:rPr>
        <w:t>5</w:t>
      </w:r>
      <w:r>
        <w:rPr>
          <w:rFonts w:ascii="Times New Roman" w:hAnsiTheme="minorEastAsia" w:eastAsiaTheme="minorEastAsia"/>
        </w:rPr>
        <w:t>）《财政部国家税务总局海关总署关于深化增值税改革有关政策的公告》财政部税务总局海关总署公告</w:t>
      </w:r>
      <w:r>
        <w:rPr>
          <w:rFonts w:ascii="Times New Roman" w:hAnsi="Times New Roman" w:eastAsiaTheme="minorEastAsia"/>
        </w:rPr>
        <w:t>2019</w:t>
      </w:r>
      <w:r>
        <w:rPr>
          <w:rFonts w:ascii="Times New Roman" w:hAnsiTheme="minorEastAsia" w:eastAsiaTheme="minorEastAsia"/>
        </w:rPr>
        <w:t>年第</w:t>
      </w:r>
      <w:r>
        <w:rPr>
          <w:rFonts w:ascii="Times New Roman" w:hAnsi="Times New Roman" w:eastAsiaTheme="minorEastAsia"/>
        </w:rPr>
        <w:t>39</w:t>
      </w:r>
      <w:r>
        <w:rPr>
          <w:rFonts w:ascii="Times New Roman" w:hAnsiTheme="minorEastAsia" w:eastAsiaTheme="minorEastAsia"/>
        </w:rPr>
        <w:t>号</w:t>
      </w:r>
      <w:r>
        <w:rPr>
          <w:rFonts w:hint="eastAsia" w:ascii="Times New Roman" w:hAnsiTheme="minorEastAsia" w:eastAsiaTheme="minorEastAsia"/>
        </w:rPr>
        <w:t>。</w:t>
      </w:r>
    </w:p>
    <w:p>
      <w:pPr>
        <w:pStyle w:val="31"/>
        <w:spacing w:line="500" w:lineRule="exact"/>
      </w:pPr>
      <w:bookmarkStart w:id="46" w:name="_Toc517446393"/>
      <w:bookmarkStart w:id="47" w:name="_Toc333912765"/>
      <w:bookmarkStart w:id="48" w:name="_Toc517445821"/>
      <w:bookmarkStart w:id="49" w:name="_Toc517445047"/>
      <w:bookmarkStart w:id="50" w:name="_Toc22012"/>
      <w:bookmarkStart w:id="51" w:name="_Toc517446079"/>
      <w:bookmarkStart w:id="52" w:name="_Toc71036629"/>
      <w:r>
        <w:t>1.3.4相关标准</w:t>
      </w:r>
      <w:bookmarkEnd w:id="46"/>
      <w:bookmarkEnd w:id="47"/>
      <w:bookmarkEnd w:id="48"/>
      <w:bookmarkEnd w:id="49"/>
      <w:bookmarkEnd w:id="50"/>
      <w:bookmarkEnd w:id="51"/>
      <w:bookmarkEnd w:id="52"/>
    </w:p>
    <w:p>
      <w:pPr>
        <w:ind w:firstLine="493"/>
        <w:rPr>
          <w:rFonts w:ascii="Times New Roman" w:hAnsi="Times New Roman"/>
          <w:szCs w:val="24"/>
        </w:rPr>
      </w:pPr>
      <w:r>
        <w:rPr>
          <w:rFonts w:ascii="Times New Roman" w:hAnsi="Times New Roman"/>
          <w:szCs w:val="24"/>
        </w:rPr>
        <w:t>（1）《地下水质量标准》（GB／T50215-93），1993年12月13日；</w:t>
      </w:r>
    </w:p>
    <w:p>
      <w:pPr>
        <w:ind w:firstLine="493"/>
        <w:rPr>
          <w:rFonts w:ascii="Times New Roman" w:hAnsi="Times New Roman"/>
          <w:szCs w:val="24"/>
        </w:rPr>
      </w:pPr>
      <w:r>
        <w:rPr>
          <w:rFonts w:ascii="Times New Roman" w:hAnsi="Times New Roman"/>
          <w:szCs w:val="24"/>
        </w:rPr>
        <w:t>（2）《土壤环境质量标准》（GB15618-1995），1995年7月13日；</w:t>
      </w:r>
    </w:p>
    <w:p>
      <w:pPr>
        <w:ind w:firstLine="493"/>
        <w:rPr>
          <w:rFonts w:ascii="Times New Roman" w:hAnsi="Times New Roman"/>
          <w:szCs w:val="24"/>
        </w:rPr>
      </w:pPr>
      <w:r>
        <w:rPr>
          <w:rFonts w:ascii="Times New Roman" w:hAnsi="Times New Roman"/>
          <w:szCs w:val="24"/>
        </w:rPr>
        <w:t>（3）《污水综合排放标准》（GB8928-1996），1996年1月10日；</w:t>
      </w:r>
    </w:p>
    <w:p>
      <w:pPr>
        <w:ind w:firstLine="493"/>
        <w:rPr>
          <w:rFonts w:ascii="Times New Roman" w:hAnsi="Times New Roman"/>
          <w:szCs w:val="24"/>
        </w:rPr>
      </w:pPr>
      <w:r>
        <w:rPr>
          <w:rFonts w:ascii="Times New Roman" w:hAnsi="Times New Roman"/>
          <w:szCs w:val="24"/>
        </w:rPr>
        <w:t>（4）《大气污染物综合排放标准》（GB16297-1996），1996年7月3日；</w:t>
      </w:r>
    </w:p>
    <w:p>
      <w:pPr>
        <w:ind w:firstLine="493"/>
        <w:rPr>
          <w:rFonts w:ascii="Times New Roman" w:hAnsi="Times New Roman"/>
          <w:szCs w:val="24"/>
        </w:rPr>
      </w:pPr>
      <w:r>
        <w:rPr>
          <w:rFonts w:ascii="Times New Roman" w:hAnsi="Times New Roman"/>
          <w:szCs w:val="24"/>
        </w:rPr>
        <w:t>（5）《土壤侵蚀分类分级标准》（SL190-96），1996年；</w:t>
      </w:r>
    </w:p>
    <w:p>
      <w:pPr>
        <w:ind w:firstLine="493"/>
        <w:rPr>
          <w:rFonts w:ascii="Times New Roman" w:hAnsi="Times New Roman"/>
        </w:rPr>
      </w:pPr>
      <w:r>
        <w:rPr>
          <w:rFonts w:ascii="Times New Roman" w:hAnsi="Times New Roman"/>
          <w:szCs w:val="24"/>
        </w:rPr>
        <w:t>（6）《一般工业固体废物贮存、处置场污染控制标准》（GB18599-2001），2001年12月28日；</w:t>
      </w:r>
    </w:p>
    <w:p>
      <w:pPr>
        <w:ind w:firstLine="493"/>
        <w:rPr>
          <w:rFonts w:ascii="Times New Roman" w:hAnsi="Times New Roman"/>
          <w:szCs w:val="24"/>
        </w:rPr>
      </w:pPr>
      <w:r>
        <w:rPr>
          <w:rFonts w:ascii="Times New Roman" w:hAnsi="Times New Roman"/>
          <w:szCs w:val="24"/>
        </w:rPr>
        <w:t>（7）《地表水环境质量标准》（GB3838-2002），2002年4月28日；</w:t>
      </w:r>
    </w:p>
    <w:p>
      <w:pPr>
        <w:ind w:firstLine="493"/>
        <w:rPr>
          <w:rFonts w:ascii="Times New Roman" w:hAnsi="Times New Roman"/>
          <w:szCs w:val="24"/>
        </w:rPr>
      </w:pPr>
      <w:r>
        <w:rPr>
          <w:rFonts w:ascii="Times New Roman" w:hAnsi="Times New Roman"/>
          <w:szCs w:val="24"/>
        </w:rPr>
        <w:t>（8）《工业企业厂界环境噪声排放标准》（GB12348-2008），2008年8月19日；</w:t>
      </w:r>
    </w:p>
    <w:p>
      <w:pPr>
        <w:ind w:firstLine="493"/>
        <w:rPr>
          <w:rFonts w:ascii="Times New Roman" w:hAnsi="Times New Roman"/>
          <w:szCs w:val="24"/>
        </w:rPr>
      </w:pPr>
      <w:r>
        <w:rPr>
          <w:rFonts w:ascii="Times New Roman" w:hAnsi="Times New Roman"/>
          <w:szCs w:val="24"/>
        </w:rPr>
        <w:t>（9）《山西省地表水水环境功能区划》（DB14/67-2014）；</w:t>
      </w:r>
    </w:p>
    <w:p>
      <w:pPr>
        <w:ind w:firstLine="493"/>
        <w:rPr>
          <w:rFonts w:ascii="Times New Roman" w:hAnsi="Times New Roman"/>
          <w:szCs w:val="24"/>
        </w:rPr>
      </w:pPr>
      <w:r>
        <w:rPr>
          <w:rFonts w:ascii="Times New Roman" w:hAnsi="Times New Roman"/>
          <w:szCs w:val="24"/>
        </w:rPr>
        <w:t>（10）《环境空气质量标准》（GB3095-2012），2016年1月1日起实行。</w:t>
      </w:r>
    </w:p>
    <w:p>
      <w:pPr>
        <w:pStyle w:val="31"/>
        <w:spacing w:line="500" w:lineRule="exact"/>
      </w:pPr>
      <w:bookmarkStart w:id="53" w:name="_Toc10463"/>
      <w:bookmarkStart w:id="54" w:name="_Toc517445822"/>
      <w:bookmarkStart w:id="55" w:name="_Toc71036630"/>
      <w:bookmarkStart w:id="56" w:name="_Toc517445048"/>
      <w:bookmarkStart w:id="57" w:name="_Toc333912766"/>
      <w:bookmarkStart w:id="58" w:name="_Toc517446080"/>
      <w:bookmarkStart w:id="59" w:name="_Toc517446394"/>
      <w:r>
        <w:t>1.3.5 依据资料</w:t>
      </w:r>
      <w:bookmarkEnd w:id="24"/>
      <w:bookmarkEnd w:id="25"/>
      <w:bookmarkEnd w:id="26"/>
      <w:bookmarkEnd w:id="27"/>
      <w:bookmarkEnd w:id="28"/>
      <w:bookmarkEnd w:id="29"/>
      <w:bookmarkEnd w:id="53"/>
      <w:bookmarkEnd w:id="54"/>
      <w:bookmarkEnd w:id="55"/>
      <w:bookmarkEnd w:id="56"/>
      <w:bookmarkEnd w:id="57"/>
      <w:bookmarkEnd w:id="58"/>
      <w:bookmarkEnd w:id="59"/>
    </w:p>
    <w:p>
      <w:pPr>
        <w:ind w:firstLine="493"/>
        <w:rPr>
          <w:rFonts w:ascii="Times New Roman" w:hAnsi="Times New Roman"/>
          <w:szCs w:val="24"/>
        </w:rPr>
      </w:pPr>
      <w:r>
        <w:rPr>
          <w:rFonts w:ascii="Times New Roman" w:hAnsi="Times New Roman"/>
          <w:szCs w:val="24"/>
        </w:rPr>
        <w:t>（1）</w:t>
      </w:r>
      <w:r>
        <w:rPr>
          <w:rFonts w:ascii="Times New Roman"/>
          <w:szCs w:val="28"/>
        </w:rPr>
        <w:t>《山西省五台县高洪口乡河口村安顺源石料厂建筑石料用灰岩矿资源储量核实报告》</w:t>
      </w:r>
      <w:r>
        <w:rPr>
          <w:rFonts w:ascii="Times New Roman" w:hAnsi="Times New Roman"/>
          <w:szCs w:val="24"/>
        </w:rPr>
        <w:t>；</w:t>
      </w:r>
    </w:p>
    <w:p>
      <w:pPr>
        <w:ind w:firstLine="493"/>
        <w:rPr>
          <w:rFonts w:ascii="Times New Roman" w:hAnsi="Times New Roman"/>
          <w:szCs w:val="24"/>
        </w:rPr>
      </w:pPr>
      <w:r>
        <w:rPr>
          <w:rFonts w:ascii="Times New Roman" w:hAnsi="Times New Roman"/>
          <w:szCs w:val="24"/>
        </w:rPr>
        <w:t>（2）</w:t>
      </w:r>
      <w:r>
        <w:rPr>
          <w:rFonts w:ascii="Times New Roman" w:hAnsi="Times New Roman"/>
          <w:kern w:val="26"/>
          <w:szCs w:val="24"/>
        </w:rPr>
        <w:t>《</w:t>
      </w:r>
      <w:r>
        <w:rPr>
          <w:rFonts w:ascii="Times New Roman" w:hAnsi="Times New Roman"/>
          <w:szCs w:val="24"/>
        </w:rPr>
        <w:t>五台县安顺源石料有限公司建设项目环境影响报告表》；</w:t>
      </w:r>
    </w:p>
    <w:p>
      <w:pPr>
        <w:ind w:firstLine="493"/>
        <w:rPr>
          <w:rFonts w:ascii="Times New Roman" w:hAnsi="Times New Roman"/>
          <w:szCs w:val="24"/>
        </w:rPr>
      </w:pPr>
      <w:r>
        <w:rPr>
          <w:rFonts w:ascii="Times New Roman" w:hAnsi="Times New Roman"/>
          <w:szCs w:val="24"/>
        </w:rPr>
        <w:t>（3）《山西省五台县安顺源石料有限公司建筑石料用灰岩矿山矿产资源开发利用、地质环境保护与治理恢复、土地复垦方案》。</w:t>
      </w:r>
    </w:p>
    <w:p>
      <w:pPr>
        <w:pStyle w:val="30"/>
        <w:spacing w:before="120" w:after="120" w:line="500" w:lineRule="exact"/>
        <w:rPr>
          <w:szCs w:val="30"/>
        </w:rPr>
      </w:pPr>
      <w:bookmarkStart w:id="60" w:name="_Toc517445049"/>
      <w:bookmarkStart w:id="61" w:name="_Toc71036631"/>
      <w:bookmarkStart w:id="62" w:name="_Toc517446081"/>
      <w:bookmarkStart w:id="63" w:name="_Toc517446395"/>
      <w:bookmarkStart w:id="64" w:name="_Toc12875"/>
      <w:bookmarkStart w:id="65" w:name="_Toc517445823"/>
      <w:r>
        <w:rPr>
          <w:szCs w:val="30"/>
        </w:rPr>
        <w:t>1.4  方案涵盖范围</w:t>
      </w:r>
      <w:bookmarkEnd w:id="60"/>
      <w:bookmarkEnd w:id="61"/>
      <w:bookmarkEnd w:id="62"/>
      <w:bookmarkEnd w:id="63"/>
      <w:bookmarkEnd w:id="64"/>
      <w:bookmarkEnd w:id="65"/>
    </w:p>
    <w:p>
      <w:pPr>
        <w:ind w:firstLine="496"/>
        <w:rPr>
          <w:rFonts w:ascii="Times New Roman" w:hAnsi="Times New Roman"/>
        </w:rPr>
      </w:pPr>
      <w:r>
        <w:rPr>
          <w:rFonts w:ascii="Times New Roman"/>
        </w:rPr>
        <w:t>五台县安顺源石料有限公司共有</w:t>
      </w:r>
      <w:r>
        <w:rPr>
          <w:rFonts w:ascii="Times New Roman" w:hAnsi="Times New Roman"/>
        </w:rPr>
        <w:t>1</w:t>
      </w:r>
      <w:r>
        <w:rPr>
          <w:rFonts w:ascii="Times New Roman"/>
        </w:rPr>
        <w:t>个</w:t>
      </w:r>
      <w:r>
        <w:rPr>
          <w:rFonts w:hint="eastAsia" w:ascii="Times New Roman"/>
        </w:rPr>
        <w:t>矿区，</w:t>
      </w:r>
      <w:r>
        <w:rPr>
          <w:rFonts w:ascii="Times New Roman" w:hAnsi="Times New Roman"/>
        </w:rPr>
        <w:t>方案调查范围为25.91hm</w:t>
      </w:r>
      <w:r>
        <w:rPr>
          <w:rFonts w:ascii="Times New Roman" w:hAnsi="Times New Roman"/>
          <w:vertAlign w:val="superscript"/>
        </w:rPr>
        <w:t>2</w:t>
      </w:r>
      <w:r>
        <w:rPr>
          <w:rFonts w:ascii="Times New Roman" w:hAnsi="Times New Roman"/>
        </w:rPr>
        <w:t>，包括开采区域以及</w:t>
      </w:r>
      <w:r>
        <w:rPr>
          <w:rFonts w:hint="eastAsia" w:ascii="Times New Roman" w:hAnsi="Times New Roman"/>
        </w:rPr>
        <w:t>生产</w:t>
      </w:r>
      <w:r>
        <w:rPr>
          <w:rFonts w:ascii="Times New Roman" w:hAnsi="Times New Roman"/>
        </w:rPr>
        <w:t>生活区域。其中</w:t>
      </w:r>
      <w:r>
        <w:rPr>
          <w:rFonts w:hint="eastAsia" w:ascii="Times New Roman" w:hAnsi="Times New Roman"/>
          <w:kern w:val="0"/>
          <w:sz w:val="28"/>
          <w:szCs w:val="28"/>
        </w:rPr>
        <w:t>环境保护范围为</w:t>
      </w:r>
      <w:r>
        <w:rPr>
          <w:rFonts w:ascii="Times New Roman" w:hAnsi="Times New Roman"/>
        </w:rPr>
        <w:t>25.91hm</w:t>
      </w:r>
      <w:r>
        <w:rPr>
          <w:rFonts w:ascii="Times New Roman" w:hAnsi="Times New Roman"/>
          <w:vertAlign w:val="superscript"/>
        </w:rPr>
        <w:t>2</w:t>
      </w:r>
      <w:r>
        <w:rPr>
          <w:rFonts w:hint="eastAsia" w:ascii="Times New Roman" w:hAnsi="Times New Roman"/>
          <w:kern w:val="0"/>
          <w:sz w:val="28"/>
          <w:szCs w:val="28"/>
        </w:rPr>
        <w:t>，生态恢复治理范围为</w:t>
      </w:r>
      <w:r>
        <w:rPr>
          <w:rFonts w:ascii="Times New Roman" w:hAnsi="Times New Roman"/>
        </w:rPr>
        <w:t>19.44hm</w:t>
      </w:r>
      <w:r>
        <w:rPr>
          <w:rFonts w:ascii="Times New Roman" w:hAnsi="Times New Roman"/>
          <w:vertAlign w:val="superscript"/>
        </w:rPr>
        <w:t>2</w:t>
      </w:r>
      <w:r>
        <w:rPr>
          <w:rFonts w:ascii="Times New Roman" w:hAnsi="Times New Roman"/>
        </w:rPr>
        <w:t>。</w:t>
      </w:r>
    </w:p>
    <w:p>
      <w:pPr>
        <w:pStyle w:val="30"/>
        <w:spacing w:before="120" w:after="120" w:line="500" w:lineRule="exact"/>
        <w:rPr>
          <w:szCs w:val="30"/>
        </w:rPr>
      </w:pPr>
      <w:bookmarkStart w:id="66" w:name="_Toc71036632"/>
      <w:bookmarkStart w:id="67" w:name="_Toc517446396"/>
      <w:bookmarkStart w:id="68" w:name="_Toc517445050"/>
      <w:bookmarkStart w:id="69" w:name="_Toc16506"/>
      <w:bookmarkStart w:id="70" w:name="_Toc517446082"/>
      <w:bookmarkStart w:id="71" w:name="_Toc517445824"/>
      <w:r>
        <w:rPr>
          <w:szCs w:val="30"/>
        </w:rPr>
        <w:t>1.5  基准年及实施期限</w:t>
      </w:r>
      <w:bookmarkEnd w:id="66"/>
      <w:bookmarkEnd w:id="67"/>
      <w:bookmarkEnd w:id="68"/>
      <w:bookmarkEnd w:id="69"/>
      <w:bookmarkEnd w:id="70"/>
      <w:bookmarkEnd w:id="71"/>
    </w:p>
    <w:p>
      <w:pPr>
        <w:ind w:firstLine="496"/>
        <w:rPr>
          <w:rFonts w:ascii="Times New Roman" w:hAnsi="Times New Roman"/>
        </w:rPr>
      </w:pPr>
      <w:r>
        <w:rPr>
          <w:rFonts w:ascii="Times New Roman" w:hAnsi="Times New Roman"/>
        </w:rPr>
        <w:t>根据《矿山生态环境保护与恢复治理方案（规划）编制规范）》，方案应根据不同矿种特点原则上 3-5 年为一个周期，矿山服务年限约为2.7年，滚动编制、审批、实施和验收，并符合当地国民经济与社会发展总体规划。本矿山为已投产矿山，本方案以2020年为基准年，方案实施期为本方案批复之日起至后三年。</w:t>
      </w:r>
    </w:p>
    <w:p>
      <w:pPr>
        <w:pStyle w:val="30"/>
        <w:spacing w:before="120" w:after="120" w:line="500" w:lineRule="exact"/>
        <w:rPr>
          <w:szCs w:val="30"/>
        </w:rPr>
      </w:pPr>
      <w:bookmarkStart w:id="72" w:name="_Toc204682681"/>
      <w:bookmarkStart w:id="73" w:name="_Toc517445825"/>
      <w:bookmarkStart w:id="74" w:name="_Toc204999720"/>
      <w:bookmarkStart w:id="75" w:name="_Toc1634"/>
      <w:bookmarkStart w:id="76" w:name="_Toc231963434"/>
      <w:bookmarkStart w:id="77" w:name="_Toc71036633"/>
      <w:bookmarkStart w:id="78" w:name="_Toc261094387"/>
      <w:bookmarkStart w:id="79" w:name="_Toc256334918"/>
      <w:bookmarkStart w:id="80" w:name="_Toc517446083"/>
      <w:bookmarkStart w:id="81" w:name="_Toc209886902"/>
      <w:bookmarkStart w:id="82" w:name="_Toc17543"/>
      <w:bookmarkStart w:id="83" w:name="_Toc205346403"/>
      <w:bookmarkStart w:id="84" w:name="_Toc517446397"/>
      <w:bookmarkStart w:id="85" w:name="_Toc228617400"/>
      <w:bookmarkStart w:id="86" w:name="_Toc279699197"/>
      <w:bookmarkStart w:id="87" w:name="_Toc517445051"/>
      <w:bookmarkStart w:id="88" w:name="_Toc280364569"/>
      <w:r>
        <w:rPr>
          <w:szCs w:val="30"/>
        </w:rPr>
        <w:t>1.6 方案技术路线</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ind w:firstLine="496"/>
        <w:rPr>
          <w:rFonts w:ascii="Times New Roman" w:hAnsi="Times New Roman"/>
          <w:bCs/>
        </w:rPr>
        <w:sectPr>
          <w:headerReference r:id="rId7" w:type="default"/>
          <w:footerReference r:id="rId8" w:type="default"/>
          <w:pgSz w:w="11907" w:h="16840"/>
          <w:pgMar w:top="1418" w:right="1418" w:bottom="1418" w:left="1418" w:header="850" w:footer="850" w:gutter="0"/>
          <w:pgNumType w:start="1"/>
          <w:cols w:space="720" w:num="1"/>
          <w:docGrid w:linePitch="326" w:charSpace="0"/>
        </w:sectPr>
      </w:pPr>
      <w:r>
        <w:rPr>
          <w:rFonts w:ascii="Times New Roman" w:hAnsi="Times New Roman"/>
          <w:bCs/>
        </w:rPr>
        <w:t>本方案通过对生态环境状况调查、评价以及预测，确定本方案的整治目标与指标，并根据识别的生态环境问题确定方案的综合治理任务，同时对重点工程进行方案设计及投资预算。本方案的编制工作程序如图1-1。</w:t>
      </w:r>
    </w:p>
    <w:p>
      <w:pPr>
        <w:pStyle w:val="28"/>
        <w:rPr>
          <w:rFonts w:ascii="Times New Roman" w:hAnsi="Times New Roman" w:cs="Times New Roman"/>
          <w:bCs/>
        </w:rPr>
      </w:pPr>
      <w:r>
        <w:rPr>
          <w:rFonts w:ascii="Times New Roman" w:hAnsi="Times New Roman" w:cs="Times New Roman"/>
          <w:bCs/>
        </w:rPr>
        <w:pict>
          <v:group id="画布 124" o:spid="_x0000_s1069" o:spt="203" style="position:absolute;left:0pt;margin-left:15.35pt;margin-top:9.4pt;height:693.9pt;width:434.2pt;z-index:251672576;mso-width-relative:page;mso-height-relative:page;" coordorigin="1396,1128" coordsize="8684,13878" editas="canvas">
            <o:lock v:ext="edit"/>
            <v:shape id="画布 124" o:spid="_x0000_s1070" o:spt="75" type="#_x0000_t75" style="position:absolute;left:1396;top:1128;height:13878;width:8684;" filled="f" o:preferrelative="t" stroked="f" coordsize="21600,21600">
              <v:fill on="f" focussize="0,0"/>
              <v:stroke on="f" joinstyle="miter"/>
              <v:imagedata o:title=""/>
              <o:lock v:ext="edit" rotation="t" text="t" aspectratio="t"/>
            </v:shape>
            <v:rect id="矩形 126" o:spid="_x0000_s1071" o:spt="1" style="position:absolute;left:4740;top:1203;height:468;width:2565;" coordsize="21600,21600">
              <v:path/>
              <v:fill focussize="0,0"/>
              <v:stroke weight="1.25pt"/>
              <v:imagedata o:title=""/>
              <o:lock v:ext="edit"/>
              <v:textbox>
                <w:txbxContent>
                  <w:p>
                    <w:pPr>
                      <w:spacing w:line="240" w:lineRule="auto"/>
                    </w:pPr>
                    <w:r>
                      <w:rPr>
                        <w:rFonts w:hint="eastAsia"/>
                      </w:rPr>
                      <w:t>收集相关资料及文件</w:t>
                    </w:r>
                  </w:p>
                  <w:p>
                    <w:pPr>
                      <w:spacing w:line="240" w:lineRule="auto"/>
                      <w:rPr>
                        <w:sz w:val="21"/>
                      </w:rPr>
                    </w:pPr>
                    <w:r>
                      <w:rPr>
                        <w:rFonts w:hint="eastAsia"/>
                        <w:sz w:val="21"/>
                      </w:rPr>
                      <w:t>成本次《方案》的编制工作，应根据《矿山生态环境保护与恢复治理方案编制导则》（环发【2012】154号）的基本原则和要求，通过对王山建材有限公司建筑用石灰岩矿相关资料收集，通过对矿山开采区生态环境状况、环境污染及治理现状进行调查、预测、分析，详细调查目前存在的生态环境问题及本期《方案》实施期内可能产生新的生态环境问题，确定本期《方案》的整治目标与指标，围绕目标与指标确定方案的主要任务，设置重点治理工程，并对重点工程进行方案设计及投资估算。集相关资料及文件</w:t>
                    </w:r>
                  </w:p>
                </w:txbxContent>
              </v:textbox>
            </v:rect>
            <v:shape id="自选图形 127" o:spid="_x0000_s1072" o:spt="32" type="#_x0000_t32" style="position:absolute;left:6030;top:1716;height:576;width:4;" filled="f" coordsize="21600,21600">
              <v:path arrowok="t"/>
              <v:fill on="f" focussize="0,0"/>
              <v:stroke weight="1.25pt" endarrow="block"/>
              <v:imagedata o:title=""/>
              <o:lock v:ext="edit"/>
            </v:shape>
            <v:rect id="矩形 128" o:spid="_x0000_s1073" o:spt="1" style="position:absolute;left:4590;top:5319;height:482;width:2983;" coordsize="21600,21600">
              <v:path/>
              <v:fill focussize="0,0"/>
              <v:stroke weight="1.25pt"/>
              <v:imagedata o:title=""/>
              <o:lock v:ext="edit"/>
              <v:textbox>
                <w:txbxContent>
                  <w:p>
                    <w:pPr>
                      <w:spacing w:line="240" w:lineRule="auto"/>
                    </w:pPr>
                    <w:r>
                      <w:rPr>
                        <w:rFonts w:hint="eastAsia"/>
                      </w:rPr>
                      <w:t>确定综合整治指标和目标</w:t>
                    </w:r>
                  </w:p>
                </w:txbxContent>
              </v:textbox>
            </v:rect>
            <v:shape id="自选图形 129" o:spid="_x0000_s1074" o:spt="32" type="#_x0000_t32" style="position:absolute;left:6059;top:3789;flip:x;height:493;width:1;" filled="f" coordsize="21600,21600">
              <v:path arrowok="t"/>
              <v:fill on="f" focussize="0,0"/>
              <v:stroke weight="1.25pt" endarrow="block"/>
              <v:imagedata o:title=""/>
              <o:lock v:ext="edit"/>
            </v:shape>
            <v:shape id="自选图形 130" o:spid="_x0000_s1075" o:spt="32" type="#_x0000_t32" style="position:absolute;left:6045;top:2832;flip:x;height:419;width:4;" filled="f" coordsize="21600,21600">
              <v:path arrowok="t"/>
              <v:fill on="f" focussize="0,0"/>
              <v:stroke weight="1.25pt" endarrow="block"/>
              <v:imagedata o:title=""/>
              <o:lock v:ext="edit"/>
            </v:shape>
            <v:shape id="文本框 131" o:spid="_x0000_s1076" o:spt="202" type="#_x0000_t202" style="position:absolute;left:7936;top:7583;height:2308;width:1064;" coordsize="21600,21600">
              <v:path/>
              <v:fill focussize="0,0"/>
              <v:stroke weight="1.25pt" joinstyle="miter"/>
              <v:imagedata o:title=""/>
              <o:lock v:ext="edit"/>
              <v:textbox>
                <w:txbxContent>
                  <w:p>
                    <w:pPr>
                      <w:spacing w:line="240" w:lineRule="auto"/>
                    </w:pPr>
                    <w:r>
                      <w:rPr>
                        <w:rFonts w:hint="eastAsia"/>
                      </w:rPr>
                      <w:t>矿山生态环境监测能力建设工程</w:t>
                    </w:r>
                  </w:p>
                </w:txbxContent>
              </v:textbox>
            </v:shape>
            <v:shape id="文本框 132" o:spid="_x0000_s1077" o:spt="202" type="#_x0000_t202" style="position:absolute;left:4095;top:12477;height:468;width:4108;" coordsize="21600,21600">
              <v:path/>
              <v:fill focussize="0,0"/>
              <v:stroke weight="1.25pt" joinstyle="miter"/>
              <v:imagedata o:title=""/>
              <o:lock v:ext="edit"/>
              <v:textbox>
                <w:txbxContent>
                  <w:p>
                    <w:pPr>
                      <w:spacing w:line="240" w:lineRule="auto"/>
                    </w:pPr>
                    <w:r>
                      <w:rPr>
                        <w:rFonts w:hint="eastAsia"/>
                      </w:rPr>
                      <w:t>编制矿山生态环境保护与恢复治理方案</w:t>
                    </w:r>
                  </w:p>
                </w:txbxContent>
              </v:textbox>
            </v:shape>
            <v:shape id="文本框 133" o:spid="_x0000_s1078" o:spt="202" type="#_x0000_t202" style="position:absolute;left:4260;top:10797;height:486;width:3644;" coordsize="21600,21600">
              <v:path/>
              <v:fill focussize="0,0"/>
              <v:stroke weight="1.25pt" joinstyle="miter"/>
              <v:imagedata o:title=""/>
              <o:lock v:ext="edit"/>
              <v:textbox>
                <w:txbxContent>
                  <w:p>
                    <w:pPr>
                      <w:spacing w:line="240" w:lineRule="auto"/>
                    </w:pPr>
                    <w:r>
                      <w:rPr>
                        <w:rFonts w:hint="eastAsia"/>
                      </w:rPr>
                      <w:t>投资估算、效益分析及保障措施</w:t>
                    </w:r>
                  </w:p>
                </w:txbxContent>
              </v:textbox>
            </v:shape>
            <v:shape id="自选图形 134" o:spid="_x0000_s1079" o:spt="32" type="#_x0000_t32" style="position:absolute;left:6090;top:10176;flip:x y;height:606;width:7;" filled="f" coordsize="21600,21600">
              <v:path arrowok="t"/>
              <v:fill on="f" focussize="0,0"/>
              <v:stroke weight="1.25pt" startarrow="block"/>
              <v:imagedata o:title=""/>
              <o:lock v:ext="edit"/>
            </v:shape>
            <v:shape id="自选图形 135" o:spid="_x0000_s1080" o:spt="32" type="#_x0000_t32" style="position:absolute;left:6105;top:12162;flip:y;height:300;width:1;" filled="f" coordsize="21600,21600">
              <v:path arrowok="t"/>
              <v:fill on="f" focussize="0,0"/>
              <v:stroke weight="1.25pt" startarrow="block"/>
              <v:imagedata o:title=""/>
              <o:lock v:ext="edit"/>
            </v:shape>
            <v:shape id="文本框 136" o:spid="_x0000_s1081" o:spt="202" type="#_x0000_t202" style="position:absolute;left:3165;top:14088;height:752;width:5598;" filled="f" stroked="f" coordsize="21600,21600">
              <v:path/>
              <v:fill on="f" focussize="0,0"/>
              <v:stroke on="f" joinstyle="miter"/>
              <v:imagedata o:title=""/>
              <o:lock v:ext="edit"/>
              <v:textbox>
                <w:txbxContent>
                  <w:p>
                    <w:pPr>
                      <w:ind w:firstLine="482"/>
                      <w:jc w:val="center"/>
                      <w:rPr>
                        <w:b/>
                      </w:rPr>
                    </w:pPr>
                    <w:r>
                      <w:rPr>
                        <w:b/>
                      </w:rPr>
                      <w:t>图</w:t>
                    </w:r>
                    <w:r>
                      <w:rPr>
                        <w:rFonts w:hint="eastAsia"/>
                        <w:b/>
                      </w:rPr>
                      <w:t xml:space="preserve">1  </w:t>
                    </w:r>
                    <w:r>
                      <w:rPr>
                        <w:b/>
                      </w:rPr>
                      <w:t>矿山生态环境恢复治理</w:t>
                    </w:r>
                    <w:r>
                      <w:rPr>
                        <w:rFonts w:hint="eastAsia"/>
                        <w:b/>
                      </w:rPr>
                      <w:t>方案</w:t>
                    </w:r>
                    <w:r>
                      <w:rPr>
                        <w:b/>
                      </w:rPr>
                      <w:t>技术路线</w:t>
                    </w:r>
                  </w:p>
                  <w:p>
                    <w:pPr>
                      <w:ind w:firstLine="480"/>
                    </w:pPr>
                  </w:p>
                </w:txbxContent>
              </v:textbox>
            </v:shape>
            <v:shape id="文本框 137" o:spid="_x0000_s1082" o:spt="202" type="#_x0000_t202" style="position:absolute;left:3376;top:7523;height:2353;width:554;" coordsize="21600,21600">
              <v:path/>
              <v:fill focussize="0,0"/>
              <v:stroke weight="1.25pt" joinstyle="miter"/>
              <v:imagedata o:title=""/>
              <o:lock v:ext="edit"/>
              <v:textbox>
                <w:txbxContent>
                  <w:p>
                    <w:pPr>
                      <w:spacing w:line="240" w:lineRule="auto"/>
                    </w:pPr>
                    <w:r>
                      <w:rPr>
                        <w:rFonts w:hint="eastAsia"/>
                      </w:rPr>
                      <w:t>工业场地、办公区</w:t>
                    </w:r>
                  </w:p>
                  <w:p>
                    <w:pPr>
                      <w:spacing w:line="240" w:lineRule="auto"/>
                    </w:pPr>
                  </w:p>
                </w:txbxContent>
              </v:textbox>
            </v:shape>
            <v:shape id="文本框 138" o:spid="_x0000_s1083" o:spt="202" type="#_x0000_t202" style="position:absolute;left:4650;top:7553;height:2339;width:510;" coordsize="21600,21600">
              <v:path/>
              <v:fill focussize="0,0"/>
              <v:stroke weight="1.25pt" joinstyle="miter"/>
              <v:imagedata o:title=""/>
              <o:lock v:ext="edit"/>
              <v:textbox>
                <w:txbxContent>
                  <w:p>
                    <w:pPr>
                      <w:spacing w:line="240" w:lineRule="auto"/>
                    </w:pPr>
                  </w:p>
                  <w:p>
                    <w:pPr>
                      <w:spacing w:line="240" w:lineRule="auto"/>
                    </w:pPr>
                    <w:r>
                      <w:rPr>
                        <w:rFonts w:hint="eastAsia"/>
                      </w:rPr>
                      <w:t>道路治理</w:t>
                    </w:r>
                  </w:p>
                  <w:p>
                    <w:pPr>
                      <w:ind w:firstLine="480"/>
                    </w:pPr>
                  </w:p>
                </w:txbxContent>
              </v:textbox>
            </v:shape>
            <v:shape id="文本框 139" o:spid="_x0000_s1084" o:spt="202" type="#_x0000_t202" style="position:absolute;left:5850;top:7538;height:2397;width:480;" coordsize="21600,21600">
              <v:path/>
              <v:fill focussize="0,0"/>
              <v:stroke weight="1.25pt" joinstyle="miter"/>
              <v:imagedata o:title=""/>
              <o:lock v:ext="edit"/>
              <v:textbox>
                <w:txbxContent>
                  <w:p>
                    <w:pPr>
                      <w:spacing w:line="240" w:lineRule="auto"/>
                    </w:pPr>
                    <w:r>
                      <w:rPr>
                        <w:rFonts w:hint="eastAsia"/>
                      </w:rPr>
                      <w:t>采区边坡防护</w:t>
                    </w:r>
                  </w:p>
                </w:txbxContent>
              </v:textbox>
            </v:shape>
            <v:shape id="自选图形 140" o:spid="_x0000_s1085" o:spt="34" type="#_x0000_t34" style="position:absolute;left:6057;top:5117;flip:y;height:4778;width:1;rotation:-5898240f;" filled="f" coordsize="21600,21600" adj="-4600800">
              <v:path arrowok="t"/>
              <v:fill on="f" focussize="0,0"/>
              <v:stroke weight="1.25pt" joinstyle="miter"/>
              <v:imagedata o:title=""/>
              <o:lock v:ext="edit"/>
            </v:shape>
            <v:shape id="自选图形 141" o:spid="_x0000_s1086" o:spt="32" type="#_x0000_t32" style="position:absolute;left:4891;top:7328;flip:y;height:213;width:1;" filled="f" coordsize="21600,21600">
              <v:path arrowok="t"/>
              <v:fill on="f" focussize="0,0"/>
              <v:stroke weight="1.25pt"/>
              <v:imagedata o:title=""/>
              <o:lock v:ext="edit"/>
            </v:shape>
            <v:shape id="自选图形 142" o:spid="_x0000_s1087" o:spt="32" type="#_x0000_t32" style="position:absolute;left:6061;top:7313;flip:y;height:213;width:1;" filled="f" coordsize="21600,21600">
              <v:path arrowok="t"/>
              <v:fill on="f" focussize="0,0"/>
              <v:stroke weight="1.25pt"/>
              <v:imagedata o:title=""/>
              <o:lock v:ext="edit"/>
            </v:shape>
            <v:shape id="自选图形 143" o:spid="_x0000_s1088" o:spt="32" type="#_x0000_t32" style="position:absolute;left:7171;top:7328;flip:y;height:213;width:1;" filled="f" coordsize="21600,21600">
              <v:path arrowok="t"/>
              <v:fill on="f" focussize="0,0"/>
              <v:stroke weight="1.25pt"/>
              <v:imagedata o:title=""/>
              <o:lock v:ext="edit"/>
            </v:shape>
            <v:shape id="自选图形 144" o:spid="_x0000_s1089" o:spt="32" type="#_x0000_t32" style="position:absolute;left:4906;top:9919;height:218;width:1;" filled="f" coordsize="21600,21600">
              <v:path arrowok="t"/>
              <v:fill on="f" focussize="0,0"/>
              <v:stroke weight="1.25pt"/>
              <v:imagedata o:title=""/>
              <o:lock v:ext="edit"/>
            </v:shape>
            <v:shape id="自选图形 145" o:spid="_x0000_s1090" o:spt="32" type="#_x0000_t32" style="position:absolute;left:6092;top:9937;height:218;width:1;" filled="f" coordsize="21600,21600">
              <v:path arrowok="t"/>
              <v:fill on="f" focussize="0,0"/>
              <v:stroke weight="1.25pt"/>
              <v:imagedata o:title=""/>
              <o:lock v:ext="edit"/>
            </v:shape>
            <v:shape id="自选图形 146" o:spid="_x0000_s1091" o:spt="32" type="#_x0000_t32" style="position:absolute;left:7172;top:9937;height:218;width:1;" filled="f" coordsize="21600,21600">
              <v:path arrowok="t"/>
              <v:fill on="f" focussize="0,0"/>
              <v:stroke weight="1.25pt"/>
              <v:imagedata o:title=""/>
              <o:lock v:ext="edit"/>
            </v:shape>
            <v:shape id="自选图形 147" o:spid="_x0000_s1092" o:spt="34" type="#_x0000_t34" style="position:absolute;left:6057;top:7525;flip:x;height:4778;width:1;rotation:5898240f;" filled="f" coordsize="21600,21600" adj="4903200">
              <v:path arrowok="t"/>
              <v:fill on="f" focussize="0,0"/>
              <v:stroke weight="1.25pt" joinstyle="miter"/>
              <v:imagedata o:title=""/>
              <o:lock v:ext="edit"/>
            </v:shape>
            <v:shape id="文本框 148" o:spid="_x0000_s1093" o:spt="202" type="#_x0000_t202" style="position:absolute;left:3014;top:2331;height:468;width:6270;" filled="f" coordsize="21600,21600">
              <v:path/>
              <v:fill on="f" focussize="0,0"/>
              <v:stroke weight="1.5pt" joinstyle="miter"/>
              <v:imagedata o:title=""/>
              <o:lock v:ext="edit"/>
              <v:textbox>
                <w:txbxContent>
                  <w:p>
                    <w:pPr>
                      <w:spacing w:line="240" w:lineRule="auto"/>
                    </w:pPr>
                    <w:r>
                      <w:rPr>
                        <w:rFonts w:hint="eastAsia"/>
                      </w:rPr>
                      <w:t>现场调查（重点调查矿区开采至今生产的生态环境问题）</w:t>
                    </w:r>
                  </w:p>
                </w:txbxContent>
              </v:textbox>
            </v:shape>
            <v:shape id="文本框 149" o:spid="_x0000_s1094" o:spt="202" type="#_x0000_t202" style="position:absolute;left:3614;top:3292;height:465;width:5011;" filled="f" coordsize="21600,21600">
              <v:path/>
              <v:fill on="f" focussize="0,0"/>
              <v:stroke weight="1.5pt" joinstyle="miter"/>
              <v:imagedata o:title=""/>
              <o:lock v:ext="edit"/>
              <v:textbox>
                <w:txbxContent>
                  <w:p>
                    <w:pPr>
                      <w:spacing w:line="240" w:lineRule="auto"/>
                    </w:pPr>
                    <w:r>
                      <w:rPr>
                        <w:rFonts w:hint="eastAsia"/>
                      </w:rPr>
                      <w:t>矿区生态环境现状及破坏调查、预测、分析</w:t>
                    </w:r>
                  </w:p>
                </w:txbxContent>
              </v:textbox>
            </v:shape>
            <v:shape id="文本框 150" o:spid="_x0000_s1095" o:spt="202" type="#_x0000_t202" style="position:absolute;left:3464;top:4291;height:495;width:5198;" filled="f" coordsize="21600,21600">
              <v:path/>
              <v:fill on="f" focussize="0,0"/>
              <v:stroke weight="1.5pt" joinstyle="miter"/>
              <v:imagedata o:title=""/>
              <o:lock v:ext="edit"/>
              <v:textbox>
                <w:txbxContent>
                  <w:p>
                    <w:pPr>
                      <w:spacing w:line="240" w:lineRule="auto"/>
                    </w:pPr>
                    <w:r>
                      <w:rPr>
                        <w:rFonts w:hint="eastAsia"/>
                      </w:rPr>
                      <w:t>识别已有及预计可能产生的重要生态环境问题</w:t>
                    </w:r>
                  </w:p>
                </w:txbxContent>
              </v:textbox>
            </v:shape>
            <v:shape id="自选图形 151" o:spid="_x0000_s1096" o:spt="32" type="#_x0000_t32" style="position:absolute;left:6074;top:4801;flip:x;height:480;width:0;" filled="f" coordsize="21600,21600">
              <v:path arrowok="t"/>
              <v:fill on="f" focussize="0,0"/>
              <v:stroke weight="1.25pt" endarrow="block"/>
              <v:imagedata o:title=""/>
              <o:lock v:ext="edit"/>
            </v:shape>
            <v:rect id="矩形 152" o:spid="_x0000_s1097" o:spt="1" style="position:absolute;left:5174;top:6331;height:445;width:1799;" coordsize="21600,21600">
              <v:path/>
              <v:fill focussize="0,0"/>
              <v:stroke weight="1.25pt"/>
              <v:imagedata o:title=""/>
              <o:lock v:ext="edit"/>
              <v:textbox>
                <w:txbxContent>
                  <w:p>
                    <w:pPr>
                      <w:spacing w:line="240" w:lineRule="auto"/>
                    </w:pPr>
                    <w:r>
                      <w:rPr>
                        <w:rFonts w:hint="eastAsia"/>
                      </w:rPr>
                      <w:t>确定重点工程</w:t>
                    </w:r>
                  </w:p>
                </w:txbxContent>
              </v:textbox>
            </v:rect>
            <v:shape id="自选图形 153" o:spid="_x0000_s1098" o:spt="32" type="#_x0000_t32" style="position:absolute;left:6074;top:5821;flip:x;height:480;width:0;" filled="f" coordsize="21600,21600">
              <v:path arrowok="t"/>
              <v:fill on="f" focussize="0,0"/>
              <v:stroke weight="1.25pt" endarrow="block"/>
              <v:imagedata o:title=""/>
              <o:lock v:ext="edit"/>
            </v:shape>
            <v:shape id="自选图形 154" o:spid="_x0000_s1099" o:spt="32" type="#_x0000_t32" style="position:absolute;left:6074;top:6811;flip:x;height:480;width:0;" filled="f" coordsize="21600,21600">
              <v:path arrowok="t"/>
              <v:fill on="f" focussize="0,0"/>
              <v:stroke weight="1.25pt" endarrow="block"/>
              <v:imagedata o:title=""/>
              <o:lock v:ext="edit"/>
            </v:shape>
            <v:shape id="文本框 155" o:spid="_x0000_s1100" o:spt="202" type="#_x0000_t202" style="position:absolute;left:5084;top:11626;height:480;width:2035;" coordsize="21600,21600">
              <v:path/>
              <v:fill focussize="0,0"/>
              <v:stroke weight="1.25pt" joinstyle="miter"/>
              <v:imagedata o:title=""/>
              <o:lock v:ext="edit"/>
              <v:textbox>
                <w:txbxContent>
                  <w:p>
                    <w:pPr>
                      <w:spacing w:line="240" w:lineRule="auto"/>
                    </w:pPr>
                    <w:r>
                      <w:rPr>
                        <w:rFonts w:hint="eastAsia"/>
                      </w:rPr>
                      <w:t>落实方案保障措施</w:t>
                    </w:r>
                  </w:p>
                </w:txbxContent>
              </v:textbox>
            </v:shape>
            <v:shape id="文本框 156" o:spid="_x0000_s1101" o:spt="202" type="#_x0000_t202" style="position:absolute;left:4469;top:13321;height:460;width:3246;" coordsize="21600,21600">
              <v:path/>
              <v:fill focussize="0,0"/>
              <v:stroke weight="1.25pt" joinstyle="miter"/>
              <v:imagedata o:title=""/>
              <o:lock v:ext="edit"/>
              <v:textbox>
                <w:txbxContent>
                  <w:p>
                    <w:pPr>
                      <w:spacing w:line="240" w:lineRule="auto"/>
                    </w:pPr>
                    <w:r>
                      <w:rPr>
                        <w:rFonts w:hint="eastAsia"/>
                      </w:rPr>
                      <w:t>技术审查、报告修改、备案</w:t>
                    </w:r>
                  </w:p>
                </w:txbxContent>
              </v:textbox>
            </v:shape>
            <v:shape id="自选图形 157" o:spid="_x0000_s1102" o:spt="32" type="#_x0000_t32" style="position:absolute;left:6104;top:12991;flip:y;height:300;width:0;" filled="f" coordsize="21600,21600">
              <v:path arrowok="t"/>
              <v:fill on="f" focussize="0,0"/>
              <v:stroke weight="1.25pt" startarrow="block"/>
              <v:imagedata o:title=""/>
              <o:lock v:ext="edit"/>
            </v:shape>
            <v:shape id="自选图形 158" o:spid="_x0000_s1103" o:spt="32" type="#_x0000_t32" style="position:absolute;left:6089;top:11311;flip:y;height:300;width:0;" filled="f" coordsize="21600,21600">
              <v:path arrowok="t"/>
              <v:fill on="f" focussize="0,0"/>
              <v:stroke weight="1.25pt" startarrow="block"/>
              <v:imagedata o:title=""/>
              <o:lock v:ext="edit"/>
            </v:shape>
            <v:shape id="文本框 159" o:spid="_x0000_s1104" o:spt="202" type="#_x0000_t202" style="position:absolute;left:6944;top:7561;height:2379;width:480;" coordsize="21600,21600">
              <v:path/>
              <v:fill focussize="0,0"/>
              <v:stroke weight="1.25pt" joinstyle="miter"/>
              <v:imagedata o:title=""/>
              <o:lock v:ext="edit"/>
              <v:textbox>
                <w:txbxContent>
                  <w:p>
                    <w:pPr>
                      <w:spacing w:line="240" w:lineRule="auto"/>
                    </w:pPr>
                    <w:r>
                      <w:rPr>
                        <w:rFonts w:hint="eastAsia"/>
                      </w:rPr>
                      <w:t>废渣场、堆料区</w:t>
                    </w:r>
                  </w:p>
                </w:txbxContent>
              </v:textbox>
            </v:shape>
          </v:group>
        </w:pict>
      </w:r>
    </w:p>
    <w:p>
      <w:pPr>
        <w:pStyle w:val="28"/>
        <w:rPr>
          <w:rFonts w:ascii="Times New Roman" w:hAnsi="Times New Roman" w:cs="Times New Roman"/>
          <w:bCs/>
        </w:rPr>
      </w:pPr>
    </w:p>
    <w:p>
      <w:pPr>
        <w:pStyle w:val="28"/>
        <w:rPr>
          <w:rFonts w:ascii="Times New Roman" w:hAnsi="Times New Roman" w:cs="Times New Roman"/>
          <w:bCs/>
        </w:rPr>
      </w:pPr>
    </w:p>
    <w:p>
      <w:pPr>
        <w:pStyle w:val="28"/>
        <w:rPr>
          <w:rFonts w:ascii="Times New Roman" w:hAnsi="Times New Roman" w:cs="Times New Roman"/>
          <w:bCs/>
        </w:rPr>
      </w:pPr>
    </w:p>
    <w:p>
      <w:pPr>
        <w:pStyle w:val="28"/>
        <w:rPr>
          <w:rFonts w:ascii="Times New Roman" w:hAnsi="Times New Roman" w:cs="Times New Roman"/>
          <w:bCs/>
        </w:rPr>
      </w:pPr>
    </w:p>
    <w:p>
      <w:pPr>
        <w:pStyle w:val="28"/>
        <w:rPr>
          <w:rFonts w:ascii="Times New Roman" w:hAnsi="Times New Roman" w:cs="Times New Roman"/>
          <w:bCs/>
        </w:rPr>
      </w:pPr>
    </w:p>
    <w:p>
      <w:pPr>
        <w:pStyle w:val="28"/>
        <w:rPr>
          <w:rFonts w:ascii="Times New Roman" w:hAnsi="Times New Roman" w:cs="Times New Roman"/>
          <w:bCs/>
        </w:rPr>
      </w:pPr>
    </w:p>
    <w:p>
      <w:pPr>
        <w:pStyle w:val="28"/>
        <w:rPr>
          <w:rFonts w:ascii="Times New Roman" w:hAnsi="Times New Roman" w:cs="Times New Roman"/>
          <w:bCs/>
        </w:rPr>
      </w:pPr>
    </w:p>
    <w:p>
      <w:pPr>
        <w:pStyle w:val="28"/>
        <w:rPr>
          <w:rFonts w:ascii="Times New Roman" w:hAnsi="Times New Roman" w:cs="Times New Roman"/>
          <w:bCs/>
        </w:rPr>
      </w:pPr>
    </w:p>
    <w:p>
      <w:pPr>
        <w:pStyle w:val="28"/>
        <w:rPr>
          <w:rFonts w:ascii="Times New Roman" w:hAnsi="Times New Roman" w:cs="Times New Roman"/>
        </w:rPr>
      </w:pPr>
    </w:p>
    <w:p>
      <w:pPr>
        <w:pStyle w:val="28"/>
        <w:rPr>
          <w:rFonts w:ascii="Times New Roman" w:hAnsi="Times New Roman" w:cs="Times New Roman"/>
        </w:rPr>
      </w:pPr>
    </w:p>
    <w:p>
      <w:pPr>
        <w:pStyle w:val="28"/>
        <w:rPr>
          <w:rFonts w:ascii="Times New Roman" w:hAnsi="Times New Roman" w:cs="Times New Roman"/>
        </w:rPr>
      </w:pPr>
    </w:p>
    <w:p>
      <w:pPr>
        <w:pStyle w:val="28"/>
        <w:rPr>
          <w:rFonts w:ascii="Times New Roman" w:hAnsi="Times New Roman" w:cs="Times New Roman"/>
        </w:rPr>
      </w:pPr>
    </w:p>
    <w:p>
      <w:pPr>
        <w:pStyle w:val="28"/>
        <w:rPr>
          <w:rFonts w:ascii="Times New Roman" w:hAnsi="Times New Roman" w:cs="Times New Roman"/>
        </w:rPr>
      </w:pPr>
    </w:p>
    <w:p>
      <w:pPr>
        <w:pStyle w:val="28"/>
        <w:rPr>
          <w:rFonts w:ascii="Times New Roman" w:hAnsi="Times New Roman" w:cs="Times New Roman"/>
        </w:rPr>
      </w:pPr>
    </w:p>
    <w:p>
      <w:pPr>
        <w:pStyle w:val="28"/>
        <w:rPr>
          <w:rFonts w:ascii="Times New Roman" w:hAnsi="Times New Roman" w:cs="Times New Roman"/>
        </w:rPr>
      </w:pPr>
    </w:p>
    <w:p>
      <w:pPr>
        <w:pStyle w:val="28"/>
        <w:rPr>
          <w:rFonts w:ascii="Times New Roman" w:hAnsi="Times New Roman" w:cs="Times New Roman"/>
        </w:rPr>
      </w:pPr>
    </w:p>
    <w:p>
      <w:pPr>
        <w:pStyle w:val="28"/>
        <w:rPr>
          <w:rFonts w:ascii="Times New Roman" w:hAnsi="Times New Roman" w:cs="Times New Roman"/>
        </w:rPr>
      </w:pPr>
    </w:p>
    <w:p>
      <w:pPr>
        <w:pStyle w:val="28"/>
        <w:rPr>
          <w:rFonts w:ascii="Times New Roman" w:hAnsi="Times New Roman" w:cs="Times New Roman"/>
        </w:rPr>
      </w:pPr>
    </w:p>
    <w:p>
      <w:pPr>
        <w:pStyle w:val="28"/>
        <w:rPr>
          <w:rFonts w:ascii="Times New Roman" w:hAnsi="Times New Roman" w:cs="Times New Roman"/>
        </w:rPr>
      </w:pPr>
    </w:p>
    <w:p>
      <w:pPr>
        <w:pStyle w:val="28"/>
        <w:rPr>
          <w:rFonts w:ascii="Times New Roman" w:hAnsi="Times New Roman" w:cs="Times New Roman"/>
        </w:rPr>
      </w:pPr>
    </w:p>
    <w:p>
      <w:pPr>
        <w:pStyle w:val="28"/>
        <w:rPr>
          <w:rFonts w:ascii="Times New Roman" w:hAnsi="Times New Roman" w:cs="Times New Roman"/>
        </w:rPr>
      </w:pPr>
    </w:p>
    <w:p>
      <w:pPr>
        <w:pStyle w:val="28"/>
        <w:rPr>
          <w:rFonts w:ascii="Times New Roman" w:hAnsi="Times New Roman" w:cs="Times New Roman"/>
        </w:rPr>
      </w:pPr>
    </w:p>
    <w:p>
      <w:pPr>
        <w:pStyle w:val="28"/>
        <w:rPr>
          <w:rFonts w:ascii="Times New Roman" w:hAnsi="Times New Roman" w:cs="Times New Roman"/>
        </w:rPr>
      </w:pPr>
    </w:p>
    <w:p>
      <w:pPr>
        <w:pStyle w:val="28"/>
        <w:rPr>
          <w:rFonts w:ascii="Times New Roman" w:hAnsi="Times New Roman" w:cs="Times New Roman"/>
        </w:rPr>
      </w:pPr>
    </w:p>
    <w:p>
      <w:pPr>
        <w:pStyle w:val="28"/>
        <w:rPr>
          <w:rFonts w:ascii="Times New Roman" w:hAnsi="Times New Roman" w:cs="Times New Roman"/>
        </w:rPr>
      </w:pPr>
    </w:p>
    <w:p>
      <w:pPr>
        <w:ind w:firstLine="1680" w:firstLineChars="700"/>
        <w:jc w:val="left"/>
        <w:rPr>
          <w:rFonts w:ascii="Times New Roman" w:hAnsi="Times New Roman"/>
        </w:rPr>
        <w:sectPr>
          <w:pgSz w:w="11907" w:h="16840"/>
          <w:pgMar w:top="1418" w:right="1418" w:bottom="1418" w:left="1418" w:header="850" w:footer="850" w:gutter="0"/>
          <w:cols w:space="720" w:num="1"/>
          <w:docGrid w:linePitch="326" w:charSpace="0"/>
        </w:sectPr>
      </w:pPr>
    </w:p>
    <w:p>
      <w:pPr>
        <w:pStyle w:val="3"/>
        <w:spacing w:beforeLines="150" w:after="0" w:line="360" w:lineRule="auto"/>
        <w:rPr>
          <w:rFonts w:ascii="Times New Roman" w:hAnsi="Times New Roman" w:eastAsia="黑体"/>
        </w:rPr>
      </w:pPr>
      <w:bookmarkStart w:id="89" w:name="_Toc517445052"/>
      <w:bookmarkStart w:id="90" w:name="_Toc517445826"/>
      <w:bookmarkStart w:id="91" w:name="_Toc517446084"/>
      <w:bookmarkStart w:id="92" w:name="_Toc25288"/>
      <w:bookmarkStart w:id="93" w:name="_Toc71036634"/>
      <w:bookmarkStart w:id="94" w:name="_Toc517446398"/>
      <w:r>
        <w:rPr>
          <w:rFonts w:ascii="Times New Roman" w:hAnsi="Times New Roman" w:eastAsia="黑体"/>
        </w:rPr>
        <w:t>2 指导思想与基本原则</w:t>
      </w:r>
      <w:bookmarkEnd w:id="89"/>
      <w:bookmarkEnd w:id="90"/>
      <w:bookmarkEnd w:id="91"/>
      <w:bookmarkEnd w:id="92"/>
      <w:bookmarkEnd w:id="93"/>
      <w:bookmarkEnd w:id="94"/>
    </w:p>
    <w:p>
      <w:pPr>
        <w:pStyle w:val="30"/>
        <w:spacing w:before="120" w:after="120"/>
        <w:rPr>
          <w:szCs w:val="30"/>
        </w:rPr>
      </w:pPr>
      <w:bookmarkStart w:id="95" w:name="_Toc517446399"/>
      <w:bookmarkStart w:id="96" w:name="_Toc517446085"/>
      <w:bookmarkStart w:id="97" w:name="_Toc71036635"/>
      <w:bookmarkStart w:id="98" w:name="_Toc517445053"/>
      <w:bookmarkStart w:id="99" w:name="_Toc9785"/>
      <w:bookmarkStart w:id="100" w:name="_Toc517445827"/>
      <w:r>
        <w:rPr>
          <w:szCs w:val="30"/>
        </w:rPr>
        <w:t>2.1  指导思想</w:t>
      </w:r>
      <w:bookmarkEnd w:id="95"/>
      <w:bookmarkEnd w:id="96"/>
      <w:bookmarkEnd w:id="97"/>
      <w:bookmarkEnd w:id="98"/>
      <w:bookmarkEnd w:id="99"/>
      <w:bookmarkEnd w:id="100"/>
    </w:p>
    <w:p>
      <w:pPr>
        <w:spacing w:line="360" w:lineRule="auto"/>
        <w:ind w:firstLine="496"/>
        <w:rPr>
          <w:rFonts w:ascii="Times New Roman" w:hAnsi="Times New Roman"/>
        </w:rPr>
      </w:pPr>
      <w:r>
        <w:rPr>
          <w:rFonts w:ascii="Times New Roman" w:hAnsi="Times New Roman"/>
        </w:rPr>
        <w:t>以科学发展观为指导，以维护矿区生态环境安全为重点，针对矿产资源开发利用方式以及产生的主要生态环境问题，科学规划、合理布局，提出生态环境保护与恢复治理的主要措施，及时治理受损的生态环境，最大限度地减少因矿产资源开发利用造成的危害，促进矿产资源开发与社会经济的可持续发展。</w:t>
      </w:r>
    </w:p>
    <w:p>
      <w:pPr>
        <w:pStyle w:val="30"/>
        <w:spacing w:before="120" w:after="120"/>
        <w:rPr>
          <w:szCs w:val="30"/>
        </w:rPr>
      </w:pPr>
      <w:bookmarkStart w:id="101" w:name="_Toc261094385"/>
      <w:bookmarkStart w:id="102" w:name="_Toc280364567"/>
      <w:bookmarkStart w:id="103" w:name="_Toc71036636"/>
      <w:bookmarkStart w:id="104" w:name="_Toc204999718"/>
      <w:bookmarkStart w:id="105" w:name="_Toc256334916"/>
      <w:bookmarkStart w:id="106" w:name="_Toc251833633"/>
      <w:bookmarkStart w:id="107" w:name="_Toc209886900"/>
      <w:bookmarkStart w:id="108" w:name="_Toc332810361"/>
      <w:bookmarkStart w:id="109" w:name="_Toc279699195"/>
      <w:bookmarkStart w:id="110" w:name="_Toc204682679"/>
      <w:bookmarkStart w:id="111" w:name="_Toc26869"/>
      <w:bookmarkStart w:id="112" w:name="_Toc258340480"/>
      <w:bookmarkStart w:id="113" w:name="_Toc517446086"/>
      <w:bookmarkStart w:id="114" w:name="_Toc13919"/>
      <w:bookmarkStart w:id="115" w:name="_Toc517445054"/>
      <w:bookmarkStart w:id="116" w:name="_Toc517445828"/>
      <w:bookmarkStart w:id="117" w:name="_Toc333912769"/>
      <w:bookmarkStart w:id="118" w:name="_Toc228617398"/>
      <w:bookmarkStart w:id="119" w:name="_Toc205346401"/>
      <w:bookmarkStart w:id="120" w:name="_Toc517446400"/>
      <w:bookmarkStart w:id="121" w:name="_Toc231963432"/>
      <w:bookmarkStart w:id="122" w:name="_Toc308107237"/>
      <w:bookmarkStart w:id="123" w:name="_Toc304492850"/>
      <w:r>
        <w:rPr>
          <w:szCs w:val="30"/>
        </w:rPr>
        <w:t>2.2  基本原则</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ind w:firstLine="496"/>
        <w:rPr>
          <w:rFonts w:ascii="Times New Roman" w:hAnsi="Times New Roman"/>
        </w:rPr>
      </w:pPr>
      <w:r>
        <w:rPr>
          <w:rFonts w:ascii="Times New Roman" w:hAnsi="Times New Roman"/>
        </w:rPr>
        <w:t>（1）保护优先，防治结合</w:t>
      </w:r>
    </w:p>
    <w:p>
      <w:pPr>
        <w:ind w:firstLine="496"/>
        <w:rPr>
          <w:rFonts w:ascii="Times New Roman" w:hAnsi="Times New Roman"/>
        </w:rPr>
      </w:pPr>
      <w:r>
        <w:rPr>
          <w:rFonts w:ascii="Times New Roman" w:hAnsi="Times New Roman"/>
        </w:rPr>
        <w:t>矿山企业要遵循在开发中保护、在保护中开发的理念，坚持“边开采、边治理”的原则，从源头上控制生态环境的破坏，努力减少已造成的生态环境损失。对矿产资源开发造成的生态破坏和环境污染，通过生物、工程和管理措施及时开展恢复治理。</w:t>
      </w:r>
    </w:p>
    <w:p>
      <w:pPr>
        <w:ind w:firstLine="496"/>
        <w:rPr>
          <w:rFonts w:ascii="Times New Roman" w:hAnsi="Times New Roman"/>
        </w:rPr>
      </w:pPr>
      <w:r>
        <w:rPr>
          <w:rFonts w:ascii="Times New Roman" w:hAnsi="Times New Roman"/>
        </w:rPr>
        <w:t>（2）景观相似，功能恢复</w:t>
      </w:r>
    </w:p>
    <w:p>
      <w:pPr>
        <w:ind w:firstLine="496"/>
        <w:rPr>
          <w:rFonts w:ascii="Times New Roman" w:hAnsi="Times New Roman"/>
        </w:rPr>
      </w:pPr>
      <w:r>
        <w:rPr>
          <w:rFonts w:ascii="Times New Roman" w:hAnsi="Times New Roman"/>
        </w:rPr>
        <w:t>根据矿山所处的区域、自然地理条件，生态恢复与环境治理的技术经济条件，按照“整体生态功能恢复”和“景观相似性”原则，宜耕则耕、宜林则林、宜草则草、宜藤则藤、宜景建景、注重成效，因地制宜采取切实可行的恢复治理措施，恢复区域整体生态功能。</w:t>
      </w:r>
    </w:p>
    <w:p>
      <w:pPr>
        <w:ind w:firstLine="496"/>
        <w:rPr>
          <w:rFonts w:ascii="Times New Roman" w:hAnsi="Times New Roman"/>
        </w:rPr>
      </w:pPr>
      <w:r>
        <w:rPr>
          <w:rFonts w:ascii="Times New Roman" w:hAnsi="Times New Roman"/>
        </w:rPr>
        <w:t>（3）突出重点，分布实施</w:t>
      </w:r>
    </w:p>
    <w:p>
      <w:pPr>
        <w:ind w:firstLine="496"/>
        <w:rPr>
          <w:rFonts w:ascii="Times New Roman" w:hAnsi="Times New Roman"/>
        </w:rPr>
      </w:pPr>
      <w:r>
        <w:rPr>
          <w:rFonts w:ascii="Times New Roman" w:hAnsi="Times New Roman"/>
        </w:rPr>
        <w:t>坚持矿产资源开发与生态环境恢复治理同步进行，按照轻、重、缓、急，分步实施，优先抓好生态破坏与环境污染严重的重点恢复治理工程，坚持矿产资源开发与生态环境治理同步进行。以典型示范和以点带面的方式，有计划地推广试点经验，稳步推动《方案》的全面实施。</w:t>
      </w:r>
    </w:p>
    <w:p>
      <w:pPr>
        <w:ind w:firstLine="496"/>
        <w:rPr>
          <w:rFonts w:ascii="Times New Roman" w:hAnsi="Times New Roman"/>
        </w:rPr>
      </w:pPr>
      <w:r>
        <w:rPr>
          <w:rFonts w:ascii="Times New Roman" w:hAnsi="Times New Roman"/>
        </w:rPr>
        <w:t>（4）科技引领，注重实效</w:t>
      </w:r>
    </w:p>
    <w:p>
      <w:pPr>
        <w:ind w:firstLine="496"/>
        <w:rPr>
          <w:rFonts w:ascii="Times New Roman" w:hAnsi="Times New Roman"/>
        </w:rPr>
      </w:pPr>
      <w:r>
        <w:rPr>
          <w:rFonts w:ascii="Times New Roman" w:hAnsi="Times New Roman"/>
        </w:rPr>
        <w:t>坚持科学性、前瞻性和实用性相统一的原则，鼓励广泛应用新技术、新方法，选择适宜的保护与治理方案，努力提高矿山生态环境保护和恢复治理成效和水平。</w:t>
      </w:r>
    </w:p>
    <w:p>
      <w:pPr>
        <w:ind w:left="496"/>
        <w:rPr>
          <w:rFonts w:ascii="Times New Roman" w:hAnsi="Times New Roman"/>
        </w:rPr>
      </w:pPr>
    </w:p>
    <w:p>
      <w:pPr>
        <w:pStyle w:val="3"/>
        <w:spacing w:before="0" w:after="0" w:line="360" w:lineRule="auto"/>
        <w:rPr>
          <w:rFonts w:ascii="Times New Roman" w:hAnsi="Times New Roman"/>
        </w:rPr>
        <w:sectPr>
          <w:pgSz w:w="11907" w:h="16840"/>
          <w:pgMar w:top="1418" w:right="1418" w:bottom="1418" w:left="1418" w:header="850" w:footer="850" w:gutter="0"/>
          <w:cols w:space="720" w:num="1"/>
          <w:docGrid w:linePitch="326" w:charSpace="0"/>
        </w:sectPr>
      </w:pPr>
    </w:p>
    <w:p>
      <w:pPr>
        <w:pStyle w:val="3"/>
        <w:spacing w:beforeLines="150" w:after="0" w:line="360" w:lineRule="auto"/>
        <w:rPr>
          <w:rFonts w:ascii="Times New Roman" w:hAnsi="Times New Roman" w:eastAsia="黑体"/>
        </w:rPr>
      </w:pPr>
      <w:bookmarkStart w:id="124" w:name="_Toc71036637"/>
      <w:bookmarkStart w:id="125" w:name="_Toc517445829"/>
      <w:bookmarkStart w:id="126" w:name="_Toc517445055"/>
      <w:bookmarkStart w:id="127" w:name="_Toc649"/>
      <w:bookmarkStart w:id="128" w:name="_Toc517446401"/>
      <w:bookmarkStart w:id="129" w:name="_Toc517446087"/>
      <w:r>
        <w:rPr>
          <w:rFonts w:ascii="Times New Roman" w:hAnsi="Times New Roman" w:eastAsia="黑体"/>
        </w:rPr>
        <w:t>3  现状调查、评价与预测</w:t>
      </w:r>
      <w:bookmarkEnd w:id="124"/>
      <w:bookmarkEnd w:id="125"/>
      <w:bookmarkEnd w:id="126"/>
      <w:bookmarkEnd w:id="127"/>
      <w:bookmarkEnd w:id="128"/>
      <w:bookmarkEnd w:id="129"/>
    </w:p>
    <w:p>
      <w:pPr>
        <w:pStyle w:val="30"/>
        <w:spacing w:before="120" w:after="120"/>
        <w:rPr>
          <w:szCs w:val="30"/>
        </w:rPr>
      </w:pPr>
      <w:bookmarkStart w:id="130" w:name="_Toc517446088"/>
      <w:bookmarkStart w:id="131" w:name="_Toc517445830"/>
      <w:bookmarkStart w:id="132" w:name="_Toc71036638"/>
      <w:bookmarkStart w:id="133" w:name="_Toc517446402"/>
      <w:bookmarkStart w:id="134" w:name="_Toc517445056"/>
      <w:bookmarkStart w:id="135" w:name="_Toc13734"/>
      <w:bookmarkStart w:id="136" w:name="_Toc230841164"/>
      <w:bookmarkStart w:id="137" w:name="_Toc231963436"/>
      <w:bookmarkStart w:id="138" w:name="_Toc280364571"/>
      <w:bookmarkStart w:id="139" w:name="_Toc279699199"/>
      <w:bookmarkStart w:id="140" w:name="_Toc256334920"/>
      <w:bookmarkStart w:id="141" w:name="_Toc22542"/>
      <w:bookmarkStart w:id="142" w:name="_Toc261094389"/>
      <w:r>
        <w:rPr>
          <w:szCs w:val="30"/>
        </w:rPr>
        <w:t>3.1 自然地理概况</w:t>
      </w:r>
      <w:bookmarkEnd w:id="130"/>
      <w:bookmarkEnd w:id="131"/>
      <w:bookmarkEnd w:id="132"/>
      <w:bookmarkEnd w:id="133"/>
      <w:bookmarkEnd w:id="134"/>
      <w:bookmarkEnd w:id="135"/>
    </w:p>
    <w:p>
      <w:pPr>
        <w:pStyle w:val="31"/>
        <w:spacing w:line="500" w:lineRule="exact"/>
      </w:pPr>
      <w:bookmarkStart w:id="143" w:name="_Toc517445057"/>
      <w:bookmarkStart w:id="144" w:name="_Toc71036639"/>
      <w:bookmarkStart w:id="145" w:name="_Toc517446403"/>
      <w:bookmarkStart w:id="146" w:name="_Toc27954"/>
      <w:bookmarkStart w:id="147" w:name="_Toc517445831"/>
      <w:bookmarkStart w:id="148" w:name="_Toc517446089"/>
      <w:r>
        <w:t>3.</w:t>
      </w:r>
      <w:bookmarkEnd w:id="136"/>
      <w:bookmarkEnd w:id="137"/>
      <w:r>
        <w:t>1.1矿区</w:t>
      </w:r>
      <w:bookmarkEnd w:id="138"/>
      <w:bookmarkEnd w:id="139"/>
      <w:bookmarkEnd w:id="140"/>
      <w:bookmarkEnd w:id="141"/>
      <w:bookmarkEnd w:id="142"/>
      <w:r>
        <w:t>地理位置</w:t>
      </w:r>
      <w:bookmarkEnd w:id="143"/>
      <w:bookmarkEnd w:id="144"/>
      <w:bookmarkEnd w:id="145"/>
      <w:bookmarkEnd w:id="146"/>
      <w:bookmarkEnd w:id="147"/>
      <w:bookmarkEnd w:id="148"/>
    </w:p>
    <w:p>
      <w:pPr>
        <w:ind w:firstLine="496"/>
        <w:rPr>
          <w:rFonts w:ascii="Times New Roman" w:hAnsi="Times New Roman"/>
        </w:rPr>
      </w:pPr>
      <w:r>
        <w:rPr>
          <w:rFonts w:ascii="Times New Roman" w:hAnsi="Times New Roman"/>
        </w:rPr>
        <w:t>五台县安顺源石料有限公司，始建于2006年，为2008年非煤资源整合单独保留矿山，原名为五台县高洪口乡河口村鑫海石料厂，于2017年经原五台县国土资源局五国土资[2017]48号审查意见矿山采矿权人与矿山企业名称变更为五台县安顺源石料有限公司。现持有原忻州市国土资源局颁发的采矿许可证证号：C1409002009127120051142，采矿权人：五台县安顺源石料有限公司；地址：五台县高洪口乡河口村；矿山名称：五台县安顺源石料有限公司；经济类型：有限责任公司；开采矿种：建筑石料用灰岩；开采方式：露天开采；生产规模：3.00万吨/年；矿区面积0.0432km</w:t>
      </w:r>
      <w:r>
        <w:rPr>
          <w:rFonts w:ascii="Times New Roman" w:hAnsi="Times New Roman"/>
          <w:vertAlign w:val="superscript"/>
        </w:rPr>
        <w:t>2</w:t>
      </w:r>
      <w:r>
        <w:rPr>
          <w:rFonts w:ascii="Times New Roman" w:hAnsi="Times New Roman"/>
        </w:rPr>
        <w:t>；有效期：2019年6月18日至2021年6月18日</w:t>
      </w:r>
      <w:r>
        <w:rPr>
          <w:rFonts w:hint="eastAsia" w:ascii="Times New Roman" w:hAnsi="Times New Roman"/>
        </w:rPr>
        <w:t>（矿山正在办理采矿许可证延续手续）</w:t>
      </w:r>
      <w:r>
        <w:rPr>
          <w:rFonts w:ascii="Times New Roman" w:hAnsi="Times New Roman"/>
        </w:rPr>
        <w:t>；开采深度：由1100m至1075m标高；发证机关为原忻州市国土资源局。</w:t>
      </w:r>
    </w:p>
    <w:p>
      <w:pPr>
        <w:ind w:firstLine="496"/>
        <w:rPr>
          <w:rFonts w:ascii="Times New Roman" w:hAnsi="Times New Roman"/>
        </w:rPr>
      </w:pPr>
      <w:r>
        <w:rPr>
          <w:rFonts w:ascii="Times New Roman" w:hAnsi="Times New Roman"/>
        </w:rPr>
        <w:t>矿区地理位置（国家2000大地坐标系）东经113°27′08″—113°27′16″，北纬38°42′51″—38°42′58″，中心点坐标：113°27′12″，38°42′</w:t>
      </w:r>
      <w:r>
        <w:rPr>
          <w:rFonts w:hint="eastAsia" w:ascii="Times New Roman" w:hAnsi="Times New Roman"/>
        </w:rPr>
        <w:t>5</w:t>
      </w:r>
      <w:r>
        <w:rPr>
          <w:rFonts w:ascii="Times New Roman" w:hAnsi="Times New Roman"/>
        </w:rPr>
        <w:t>″，矿区范围由下列4个拐点圈定，见表1-1。</w:t>
      </w:r>
    </w:p>
    <w:p>
      <w:pPr>
        <w:ind w:firstLine="496"/>
        <w:rPr>
          <w:rFonts w:ascii="Times New Roman" w:hAnsi="Times New Roman"/>
        </w:rPr>
      </w:pPr>
      <w:r>
        <w:rPr>
          <w:rFonts w:ascii="Times New Roman" w:hAnsi="Times New Roman"/>
        </w:rPr>
        <w:t>本矿区面积0.0432km</w:t>
      </w:r>
      <w:r>
        <w:rPr>
          <w:rFonts w:ascii="Times New Roman" w:hAnsi="Times New Roman"/>
          <w:vertAlign w:val="superscript"/>
        </w:rPr>
        <w:t>2</w:t>
      </w:r>
      <w:r>
        <w:rPr>
          <w:rFonts w:ascii="Times New Roman" w:hAnsi="Times New Roman"/>
        </w:rPr>
        <w:t>，地质环境评估区面积10.5594hm</w:t>
      </w:r>
      <w:r>
        <w:rPr>
          <w:rFonts w:ascii="Times New Roman" w:hAnsi="Times New Roman"/>
          <w:vertAlign w:val="superscript"/>
        </w:rPr>
        <w:t>2</w:t>
      </w:r>
      <w:r>
        <w:rPr>
          <w:rFonts w:ascii="Times New Roman" w:hAnsi="Times New Roman"/>
        </w:rPr>
        <w:t>，土地复垦区面积为5.7578 hm</w:t>
      </w:r>
      <w:r>
        <w:rPr>
          <w:rFonts w:ascii="Times New Roman" w:hAnsi="Times New Roman"/>
          <w:vertAlign w:val="superscript"/>
        </w:rPr>
        <w:t>2</w:t>
      </w:r>
      <w:r>
        <w:rPr>
          <w:rFonts w:ascii="Times New Roman" w:hAnsi="Times New Roman"/>
        </w:rPr>
        <w:t>，复垦责任区面积5.7300hm</w:t>
      </w:r>
      <w:r>
        <w:rPr>
          <w:rFonts w:ascii="Times New Roman" w:hAnsi="Times New Roman"/>
          <w:vertAlign w:val="superscript"/>
        </w:rPr>
        <w:t>2</w:t>
      </w:r>
      <w:r>
        <w:rPr>
          <w:rFonts w:ascii="Times New Roman" w:hAnsi="Times New Roman"/>
        </w:rPr>
        <w:t>。</w:t>
      </w:r>
    </w:p>
    <w:p>
      <w:pPr>
        <w:pStyle w:val="2"/>
        <w:rPr>
          <w:rFonts w:ascii="Times New Roman" w:hAnsi="Times New Roman" w:cs="Times New Roman"/>
        </w:rPr>
      </w:pPr>
    </w:p>
    <w:p>
      <w:pPr>
        <w:pStyle w:val="2"/>
        <w:rPr>
          <w:rFonts w:ascii="Times New Roman" w:hAnsi="Times New Roman" w:cs="Times New Roman"/>
        </w:rPr>
      </w:pPr>
    </w:p>
    <w:p>
      <w:pPr>
        <w:pStyle w:val="2"/>
        <w:rPr>
          <w:rFonts w:ascii="Times New Roman" w:hAnsi="Times New Roman" w:cs="Times New Roman"/>
        </w:rPr>
      </w:pPr>
    </w:p>
    <w:p>
      <w:pPr>
        <w:pStyle w:val="2"/>
        <w:rPr>
          <w:rFonts w:ascii="Times New Roman" w:hAnsi="Times New Roman" w:cs="Times New Roman"/>
        </w:rPr>
      </w:pPr>
    </w:p>
    <w:p>
      <w:pPr>
        <w:pStyle w:val="2"/>
        <w:rPr>
          <w:rFonts w:ascii="Times New Roman" w:hAnsi="Times New Roman" w:cs="Times New Roman"/>
        </w:rPr>
      </w:pPr>
    </w:p>
    <w:p>
      <w:pPr>
        <w:pStyle w:val="2"/>
        <w:rPr>
          <w:rFonts w:ascii="Times New Roman" w:hAnsi="Times New Roman" w:cs="Times New Roman"/>
        </w:rPr>
      </w:pPr>
    </w:p>
    <w:p>
      <w:pPr>
        <w:pStyle w:val="2"/>
        <w:rPr>
          <w:rFonts w:ascii="Times New Roman" w:hAnsi="Times New Roman" w:cs="Times New Roman"/>
        </w:rPr>
      </w:pPr>
    </w:p>
    <w:p>
      <w:pPr>
        <w:pStyle w:val="2"/>
        <w:rPr>
          <w:rFonts w:ascii="Times New Roman" w:hAnsi="Times New Roman" w:cs="Times New Roman"/>
        </w:rPr>
      </w:pPr>
    </w:p>
    <w:p>
      <w:pPr>
        <w:pStyle w:val="2"/>
        <w:rPr>
          <w:rFonts w:ascii="Times New Roman" w:hAnsi="Times New Roman" w:cs="Times New Roman"/>
        </w:rPr>
      </w:pPr>
    </w:p>
    <w:p>
      <w:pPr>
        <w:pStyle w:val="41"/>
        <w:numPr>
          <w:ilvl w:val="0"/>
          <w:numId w:val="0"/>
        </w:numPr>
        <w:spacing w:line="560" w:lineRule="exact"/>
        <w:ind w:firstLine="1807" w:firstLineChars="750"/>
        <w:jc w:val="both"/>
        <w:rPr>
          <w:rFonts w:ascii="Times New Roman" w:eastAsia="宋体"/>
          <w:bCs/>
          <w:sz w:val="24"/>
          <w:szCs w:val="24"/>
        </w:rPr>
      </w:pPr>
      <w:r>
        <w:rPr>
          <w:rFonts w:ascii="Times New Roman" w:eastAsia="宋体"/>
          <w:b/>
          <w:bCs/>
          <w:sz w:val="24"/>
          <w:szCs w:val="24"/>
        </w:rPr>
        <w:t xml:space="preserve">矿区范围拐点坐标对照表 </w:t>
      </w:r>
      <w:r>
        <w:rPr>
          <w:rFonts w:ascii="Times New Roman" w:eastAsia="宋体"/>
          <w:bCs/>
          <w:sz w:val="24"/>
          <w:szCs w:val="24"/>
        </w:rPr>
        <w:t xml:space="preserve">       表1-1</w:t>
      </w:r>
    </w:p>
    <w:tbl>
      <w:tblPr>
        <w:tblStyle w:val="21"/>
        <w:tblW w:w="923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45"/>
        <w:gridCol w:w="1378"/>
        <w:gridCol w:w="1487"/>
        <w:gridCol w:w="1378"/>
        <w:gridCol w:w="1487"/>
        <w:gridCol w:w="1644"/>
        <w:gridCol w:w="14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3" w:hRule="atLeast"/>
          <w:tblHeader/>
          <w:jc w:val="center"/>
        </w:trPr>
        <w:tc>
          <w:tcPr>
            <w:tcW w:w="445" w:type="dxa"/>
            <w:vMerge w:val="restart"/>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点</w:t>
            </w:r>
          </w:p>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号</w:t>
            </w:r>
          </w:p>
        </w:tc>
        <w:tc>
          <w:tcPr>
            <w:tcW w:w="8785" w:type="dxa"/>
            <w:gridSpan w:val="6"/>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北京54坐标系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3" w:hRule="atLeast"/>
          <w:tblHeader/>
          <w:jc w:val="center"/>
        </w:trPr>
        <w:tc>
          <w:tcPr>
            <w:tcW w:w="445" w:type="dxa"/>
            <w:vMerge w:val="continue"/>
            <w:vAlign w:val="center"/>
          </w:tcPr>
          <w:p>
            <w:pPr>
              <w:spacing w:line="0" w:lineRule="atLeast"/>
              <w:jc w:val="center"/>
              <w:rPr>
                <w:rFonts w:ascii="Times New Roman" w:hAnsi="Times New Roman"/>
                <w:snapToGrid w:val="0"/>
                <w:kern w:val="0"/>
                <w:sz w:val="21"/>
                <w:szCs w:val="21"/>
              </w:rPr>
            </w:pPr>
          </w:p>
        </w:tc>
        <w:tc>
          <w:tcPr>
            <w:tcW w:w="2865" w:type="dxa"/>
            <w:gridSpan w:val="2"/>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3度带</w:t>
            </w:r>
          </w:p>
        </w:tc>
        <w:tc>
          <w:tcPr>
            <w:tcW w:w="2865" w:type="dxa"/>
            <w:gridSpan w:val="2"/>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6度带</w:t>
            </w:r>
          </w:p>
        </w:tc>
        <w:tc>
          <w:tcPr>
            <w:tcW w:w="3055" w:type="dxa"/>
            <w:gridSpan w:val="2"/>
            <w:tcBorders>
              <w:bottom w:val="single" w:color="auto"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经纬度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3" w:hRule="atLeast"/>
          <w:tblHeader/>
          <w:jc w:val="center"/>
        </w:trPr>
        <w:tc>
          <w:tcPr>
            <w:tcW w:w="445" w:type="dxa"/>
            <w:vMerge w:val="continue"/>
            <w:vAlign w:val="center"/>
          </w:tcPr>
          <w:p>
            <w:pPr>
              <w:spacing w:line="0" w:lineRule="atLeast"/>
              <w:jc w:val="center"/>
              <w:rPr>
                <w:rFonts w:ascii="Times New Roman" w:hAnsi="Times New Roman"/>
                <w:snapToGrid w:val="0"/>
                <w:kern w:val="0"/>
                <w:sz w:val="21"/>
                <w:szCs w:val="21"/>
              </w:rPr>
            </w:pPr>
          </w:p>
        </w:tc>
        <w:tc>
          <w:tcPr>
            <w:tcW w:w="1378" w:type="dxa"/>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X</w:t>
            </w:r>
          </w:p>
        </w:tc>
        <w:tc>
          <w:tcPr>
            <w:tcW w:w="1487" w:type="dxa"/>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Y</w:t>
            </w:r>
          </w:p>
        </w:tc>
        <w:tc>
          <w:tcPr>
            <w:tcW w:w="1378" w:type="dxa"/>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X</w:t>
            </w:r>
          </w:p>
        </w:tc>
        <w:tc>
          <w:tcPr>
            <w:tcW w:w="1487" w:type="dxa"/>
            <w:tcBorders>
              <w:top w:val="single" w:color="auto"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Y</w:t>
            </w:r>
          </w:p>
        </w:tc>
        <w:tc>
          <w:tcPr>
            <w:tcW w:w="1644" w:type="dxa"/>
            <w:tcBorders>
              <w:top w:val="single" w:color="auto" w:sz="4" w:space="0"/>
              <w:right w:val="single" w:color="auto"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经度</w:t>
            </w:r>
          </w:p>
        </w:tc>
        <w:tc>
          <w:tcPr>
            <w:tcW w:w="1411" w:type="dxa"/>
            <w:tcBorders>
              <w:top w:val="single" w:color="auto" w:sz="4" w:space="0"/>
              <w:left w:val="single" w:color="auto"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纬度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3" w:hRule="atLeast"/>
          <w:jc w:val="center"/>
        </w:trPr>
        <w:tc>
          <w:tcPr>
            <w:tcW w:w="445" w:type="dxa"/>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1</w:t>
            </w:r>
          </w:p>
        </w:tc>
        <w:tc>
          <w:tcPr>
            <w:tcW w:w="1378" w:type="dxa"/>
            <w:vAlign w:val="center"/>
          </w:tcPr>
          <w:p>
            <w:pPr>
              <w:spacing w:line="0" w:lineRule="atLeast"/>
              <w:jc w:val="center"/>
              <w:rPr>
                <w:rFonts w:ascii="Times New Roman" w:hAnsi="Times New Roman"/>
                <w:snapToGrid w:val="0"/>
                <w:kern w:val="0"/>
                <w:sz w:val="21"/>
                <w:szCs w:val="21"/>
              </w:rPr>
            </w:pPr>
            <w:r>
              <w:rPr>
                <w:rFonts w:ascii="Times New Roman" w:hAnsi="Times New Roman"/>
                <w:sz w:val="21"/>
                <w:szCs w:val="21"/>
              </w:rPr>
              <w:t>4287188</w:t>
            </w:r>
          </w:p>
        </w:tc>
        <w:tc>
          <w:tcPr>
            <w:tcW w:w="1487" w:type="dxa"/>
            <w:vAlign w:val="center"/>
          </w:tcPr>
          <w:p>
            <w:pPr>
              <w:spacing w:line="0" w:lineRule="atLeast"/>
              <w:jc w:val="center"/>
              <w:rPr>
                <w:rFonts w:ascii="Times New Roman" w:hAnsi="Times New Roman"/>
                <w:snapToGrid w:val="0"/>
                <w:kern w:val="0"/>
                <w:sz w:val="21"/>
                <w:szCs w:val="21"/>
              </w:rPr>
            </w:pPr>
            <w:r>
              <w:rPr>
                <w:rFonts w:ascii="Times New Roman" w:hAnsi="Times New Roman"/>
                <w:sz w:val="21"/>
                <w:szCs w:val="21"/>
              </w:rPr>
              <w:t>38452326</w:t>
            </w:r>
          </w:p>
        </w:tc>
        <w:tc>
          <w:tcPr>
            <w:tcW w:w="1378" w:type="dxa"/>
            <w:vAlign w:val="center"/>
          </w:tcPr>
          <w:p>
            <w:pPr>
              <w:spacing w:line="0" w:lineRule="atLeast"/>
              <w:jc w:val="center"/>
              <w:rPr>
                <w:rFonts w:ascii="Times New Roman" w:hAnsi="Times New Roman"/>
                <w:snapToGrid w:val="0"/>
                <w:kern w:val="0"/>
                <w:sz w:val="21"/>
                <w:szCs w:val="21"/>
              </w:rPr>
            </w:pPr>
            <w:r>
              <w:rPr>
                <w:rFonts w:ascii="Times New Roman" w:hAnsi="Times New Roman"/>
                <w:sz w:val="21"/>
                <w:szCs w:val="21"/>
              </w:rPr>
              <w:t>4289900</w:t>
            </w:r>
          </w:p>
        </w:tc>
        <w:tc>
          <w:tcPr>
            <w:tcW w:w="1487" w:type="dxa"/>
            <w:vAlign w:val="center"/>
          </w:tcPr>
          <w:p>
            <w:pPr>
              <w:spacing w:line="0" w:lineRule="atLeast"/>
              <w:jc w:val="center"/>
              <w:rPr>
                <w:rFonts w:ascii="Times New Roman" w:hAnsi="Times New Roman"/>
                <w:snapToGrid w:val="0"/>
                <w:kern w:val="0"/>
                <w:sz w:val="21"/>
                <w:szCs w:val="21"/>
              </w:rPr>
            </w:pPr>
            <w:r>
              <w:rPr>
                <w:rFonts w:ascii="Times New Roman" w:hAnsi="Times New Roman"/>
                <w:sz w:val="21"/>
                <w:szCs w:val="21"/>
              </w:rPr>
              <w:t>19713260</w:t>
            </w:r>
          </w:p>
        </w:tc>
        <w:tc>
          <w:tcPr>
            <w:tcW w:w="1644" w:type="dxa"/>
            <w:tcBorders>
              <w:bottom w:val="single" w:color="auto" w:sz="4" w:space="0"/>
              <w:right w:val="single" w:color="auto" w:sz="4" w:space="0"/>
            </w:tcBorders>
            <w:vAlign w:val="center"/>
          </w:tcPr>
          <w:p>
            <w:pPr>
              <w:jc w:val="center"/>
              <w:rPr>
                <w:rFonts w:ascii="Times New Roman" w:hAnsi="Times New Roman"/>
                <w:sz w:val="21"/>
                <w:szCs w:val="21"/>
              </w:rPr>
            </w:pPr>
            <w:r>
              <w:rPr>
                <w:rFonts w:ascii="Times New Roman" w:hAnsi="Times New Roman"/>
                <w:sz w:val="21"/>
                <w:szCs w:val="21"/>
              </w:rPr>
              <w:t>113°27′07″</w:t>
            </w:r>
          </w:p>
        </w:tc>
        <w:tc>
          <w:tcPr>
            <w:tcW w:w="1411" w:type="dxa"/>
            <w:tcBorders>
              <w:left w:val="single" w:color="auto" w:sz="4" w:space="0"/>
              <w:bottom w:val="single" w:color="auto" w:sz="4" w:space="0"/>
            </w:tcBorders>
            <w:vAlign w:val="center"/>
          </w:tcPr>
          <w:p>
            <w:pPr>
              <w:jc w:val="center"/>
              <w:rPr>
                <w:rFonts w:ascii="Times New Roman" w:hAnsi="Times New Roman"/>
                <w:sz w:val="21"/>
                <w:szCs w:val="21"/>
              </w:rPr>
            </w:pPr>
            <w:r>
              <w:rPr>
                <w:rFonts w:ascii="Times New Roman" w:hAnsi="Times New Roman"/>
                <w:sz w:val="21"/>
                <w:szCs w:val="21"/>
              </w:rPr>
              <w:t>38°42′57″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3" w:hRule="atLeast"/>
          <w:jc w:val="center"/>
        </w:trPr>
        <w:tc>
          <w:tcPr>
            <w:tcW w:w="445" w:type="dxa"/>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2</w:t>
            </w:r>
          </w:p>
        </w:tc>
        <w:tc>
          <w:tcPr>
            <w:tcW w:w="1378" w:type="dxa"/>
            <w:vAlign w:val="center"/>
          </w:tcPr>
          <w:p>
            <w:pPr>
              <w:spacing w:line="0" w:lineRule="atLeast"/>
              <w:jc w:val="center"/>
              <w:rPr>
                <w:rFonts w:ascii="Times New Roman" w:hAnsi="Times New Roman"/>
                <w:snapToGrid w:val="0"/>
                <w:kern w:val="0"/>
                <w:sz w:val="21"/>
                <w:szCs w:val="21"/>
              </w:rPr>
            </w:pPr>
            <w:r>
              <w:rPr>
                <w:rFonts w:ascii="Times New Roman" w:hAnsi="Times New Roman"/>
                <w:sz w:val="21"/>
                <w:szCs w:val="21"/>
              </w:rPr>
              <w:t>4287182</w:t>
            </w:r>
          </w:p>
        </w:tc>
        <w:tc>
          <w:tcPr>
            <w:tcW w:w="1487" w:type="dxa"/>
            <w:vAlign w:val="center"/>
          </w:tcPr>
          <w:p>
            <w:pPr>
              <w:spacing w:line="0" w:lineRule="atLeast"/>
              <w:jc w:val="center"/>
              <w:rPr>
                <w:rFonts w:ascii="Times New Roman" w:hAnsi="Times New Roman"/>
                <w:snapToGrid w:val="0"/>
                <w:kern w:val="0"/>
                <w:sz w:val="21"/>
                <w:szCs w:val="21"/>
              </w:rPr>
            </w:pPr>
            <w:r>
              <w:rPr>
                <w:rFonts w:ascii="Times New Roman" w:hAnsi="Times New Roman"/>
                <w:sz w:val="21"/>
                <w:szCs w:val="21"/>
              </w:rPr>
              <w:t>38452506</w:t>
            </w:r>
          </w:p>
        </w:tc>
        <w:tc>
          <w:tcPr>
            <w:tcW w:w="1378" w:type="dxa"/>
            <w:vAlign w:val="center"/>
          </w:tcPr>
          <w:p>
            <w:pPr>
              <w:spacing w:line="0" w:lineRule="atLeast"/>
              <w:jc w:val="center"/>
              <w:rPr>
                <w:rFonts w:ascii="Times New Roman" w:hAnsi="Times New Roman"/>
                <w:snapToGrid w:val="0"/>
                <w:kern w:val="0"/>
                <w:sz w:val="21"/>
                <w:szCs w:val="21"/>
              </w:rPr>
            </w:pPr>
            <w:r>
              <w:rPr>
                <w:rFonts w:ascii="Times New Roman" w:hAnsi="Times New Roman"/>
                <w:sz w:val="21"/>
                <w:szCs w:val="21"/>
              </w:rPr>
              <w:t>4289900</w:t>
            </w:r>
          </w:p>
        </w:tc>
        <w:tc>
          <w:tcPr>
            <w:tcW w:w="1487" w:type="dxa"/>
            <w:vAlign w:val="center"/>
          </w:tcPr>
          <w:p>
            <w:pPr>
              <w:spacing w:line="0" w:lineRule="atLeast"/>
              <w:jc w:val="center"/>
              <w:rPr>
                <w:rFonts w:ascii="Times New Roman" w:hAnsi="Times New Roman"/>
                <w:snapToGrid w:val="0"/>
                <w:kern w:val="0"/>
                <w:sz w:val="21"/>
                <w:szCs w:val="21"/>
              </w:rPr>
            </w:pPr>
            <w:r>
              <w:rPr>
                <w:rFonts w:ascii="Times New Roman" w:hAnsi="Times New Roman"/>
                <w:sz w:val="21"/>
                <w:szCs w:val="21"/>
              </w:rPr>
              <w:t>19713440</w:t>
            </w:r>
          </w:p>
        </w:tc>
        <w:tc>
          <w:tcPr>
            <w:tcW w:w="1644" w:type="dxa"/>
            <w:tcBorders>
              <w:top w:val="single" w:color="auto" w:sz="4" w:space="0"/>
              <w:bottom w:val="single" w:color="auto" w:sz="4" w:space="0"/>
              <w:right w:val="single" w:color="auto" w:sz="4" w:space="0"/>
            </w:tcBorders>
            <w:vAlign w:val="center"/>
          </w:tcPr>
          <w:p>
            <w:pPr>
              <w:jc w:val="center"/>
              <w:rPr>
                <w:rFonts w:ascii="Times New Roman" w:hAnsi="Times New Roman"/>
                <w:sz w:val="21"/>
                <w:szCs w:val="21"/>
              </w:rPr>
            </w:pPr>
            <w:r>
              <w:rPr>
                <w:rFonts w:ascii="Times New Roman" w:hAnsi="Times New Roman"/>
                <w:sz w:val="21"/>
                <w:szCs w:val="21"/>
              </w:rPr>
              <w:t>113°27′14″</w:t>
            </w:r>
          </w:p>
        </w:tc>
        <w:tc>
          <w:tcPr>
            <w:tcW w:w="1411" w:type="dxa"/>
            <w:tcBorders>
              <w:top w:val="single" w:color="auto" w:sz="4" w:space="0"/>
              <w:left w:val="single" w:color="auto" w:sz="4" w:space="0"/>
              <w:bottom w:val="single" w:color="auto" w:sz="4" w:space="0"/>
            </w:tcBorders>
            <w:vAlign w:val="center"/>
          </w:tcPr>
          <w:p>
            <w:pPr>
              <w:jc w:val="center"/>
              <w:rPr>
                <w:rFonts w:ascii="Times New Roman" w:hAnsi="Times New Roman"/>
                <w:sz w:val="21"/>
                <w:szCs w:val="21"/>
              </w:rPr>
            </w:pPr>
            <w:r>
              <w:rPr>
                <w:rFonts w:ascii="Times New Roman" w:hAnsi="Times New Roman"/>
                <w:sz w:val="21"/>
                <w:szCs w:val="21"/>
              </w:rPr>
              <w:t>38°42′57″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3" w:hRule="atLeast"/>
          <w:jc w:val="center"/>
        </w:trPr>
        <w:tc>
          <w:tcPr>
            <w:tcW w:w="445" w:type="dxa"/>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3</w:t>
            </w:r>
          </w:p>
        </w:tc>
        <w:tc>
          <w:tcPr>
            <w:tcW w:w="1378" w:type="dxa"/>
            <w:vAlign w:val="center"/>
          </w:tcPr>
          <w:p>
            <w:pPr>
              <w:spacing w:line="0" w:lineRule="atLeast"/>
              <w:jc w:val="center"/>
              <w:rPr>
                <w:rFonts w:ascii="Times New Roman" w:hAnsi="Times New Roman"/>
                <w:snapToGrid w:val="0"/>
                <w:kern w:val="0"/>
                <w:sz w:val="21"/>
                <w:szCs w:val="21"/>
              </w:rPr>
            </w:pPr>
            <w:r>
              <w:rPr>
                <w:rFonts w:ascii="Times New Roman" w:hAnsi="Times New Roman"/>
                <w:sz w:val="21"/>
                <w:szCs w:val="21"/>
              </w:rPr>
              <w:t>4286942</w:t>
            </w:r>
          </w:p>
        </w:tc>
        <w:tc>
          <w:tcPr>
            <w:tcW w:w="1487" w:type="dxa"/>
            <w:vAlign w:val="center"/>
          </w:tcPr>
          <w:p>
            <w:pPr>
              <w:spacing w:line="0" w:lineRule="atLeast"/>
              <w:jc w:val="center"/>
              <w:rPr>
                <w:rFonts w:ascii="Times New Roman" w:hAnsi="Times New Roman"/>
                <w:snapToGrid w:val="0"/>
                <w:kern w:val="0"/>
                <w:sz w:val="21"/>
                <w:szCs w:val="21"/>
              </w:rPr>
            </w:pPr>
            <w:r>
              <w:rPr>
                <w:rFonts w:ascii="Times New Roman" w:hAnsi="Times New Roman"/>
                <w:sz w:val="21"/>
                <w:szCs w:val="21"/>
              </w:rPr>
              <w:t>38452498</w:t>
            </w:r>
          </w:p>
        </w:tc>
        <w:tc>
          <w:tcPr>
            <w:tcW w:w="1378" w:type="dxa"/>
            <w:vAlign w:val="center"/>
          </w:tcPr>
          <w:p>
            <w:pPr>
              <w:spacing w:line="0" w:lineRule="atLeast"/>
              <w:jc w:val="center"/>
              <w:rPr>
                <w:rFonts w:ascii="Times New Roman" w:hAnsi="Times New Roman"/>
                <w:snapToGrid w:val="0"/>
                <w:kern w:val="0"/>
                <w:sz w:val="21"/>
                <w:szCs w:val="21"/>
              </w:rPr>
            </w:pPr>
            <w:r>
              <w:rPr>
                <w:rFonts w:ascii="Times New Roman" w:hAnsi="Times New Roman"/>
                <w:sz w:val="21"/>
                <w:szCs w:val="21"/>
              </w:rPr>
              <w:t>4289660</w:t>
            </w:r>
          </w:p>
        </w:tc>
        <w:tc>
          <w:tcPr>
            <w:tcW w:w="1487" w:type="dxa"/>
            <w:vAlign w:val="center"/>
          </w:tcPr>
          <w:p>
            <w:pPr>
              <w:spacing w:line="0" w:lineRule="atLeast"/>
              <w:jc w:val="center"/>
              <w:rPr>
                <w:rFonts w:ascii="Times New Roman" w:hAnsi="Times New Roman"/>
                <w:snapToGrid w:val="0"/>
                <w:kern w:val="0"/>
                <w:sz w:val="21"/>
                <w:szCs w:val="21"/>
              </w:rPr>
            </w:pPr>
            <w:r>
              <w:rPr>
                <w:rFonts w:ascii="Times New Roman" w:hAnsi="Times New Roman"/>
                <w:sz w:val="21"/>
                <w:szCs w:val="21"/>
              </w:rPr>
              <w:t>19713440</w:t>
            </w:r>
          </w:p>
        </w:tc>
        <w:tc>
          <w:tcPr>
            <w:tcW w:w="1644" w:type="dxa"/>
            <w:tcBorders>
              <w:top w:val="single" w:color="auto" w:sz="4" w:space="0"/>
              <w:bottom w:val="single" w:color="auto" w:sz="4" w:space="0"/>
              <w:right w:val="single" w:color="auto" w:sz="4" w:space="0"/>
            </w:tcBorders>
            <w:vAlign w:val="center"/>
          </w:tcPr>
          <w:p>
            <w:pPr>
              <w:jc w:val="center"/>
              <w:rPr>
                <w:rFonts w:ascii="Times New Roman" w:hAnsi="Times New Roman"/>
                <w:sz w:val="21"/>
                <w:szCs w:val="21"/>
              </w:rPr>
            </w:pPr>
            <w:r>
              <w:rPr>
                <w:rFonts w:ascii="Times New Roman" w:hAnsi="Times New Roman"/>
                <w:sz w:val="21"/>
                <w:szCs w:val="21"/>
              </w:rPr>
              <w:t>113°27′14″</w:t>
            </w:r>
          </w:p>
        </w:tc>
        <w:tc>
          <w:tcPr>
            <w:tcW w:w="1411" w:type="dxa"/>
            <w:tcBorders>
              <w:top w:val="single" w:color="auto" w:sz="4" w:space="0"/>
              <w:left w:val="single" w:color="auto" w:sz="4" w:space="0"/>
              <w:bottom w:val="single" w:color="auto" w:sz="4" w:space="0"/>
            </w:tcBorders>
            <w:vAlign w:val="center"/>
          </w:tcPr>
          <w:p>
            <w:pPr>
              <w:jc w:val="center"/>
              <w:rPr>
                <w:rFonts w:ascii="Times New Roman" w:hAnsi="Times New Roman"/>
                <w:sz w:val="21"/>
                <w:szCs w:val="21"/>
              </w:rPr>
            </w:pPr>
            <w:r>
              <w:rPr>
                <w:rFonts w:ascii="Times New Roman" w:hAnsi="Times New Roman"/>
                <w:sz w:val="21"/>
                <w:szCs w:val="21"/>
              </w:rPr>
              <w:t>38°42′49″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3" w:hRule="atLeast"/>
          <w:jc w:val="center"/>
        </w:trPr>
        <w:tc>
          <w:tcPr>
            <w:tcW w:w="445" w:type="dxa"/>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4</w:t>
            </w:r>
          </w:p>
        </w:tc>
        <w:tc>
          <w:tcPr>
            <w:tcW w:w="1378" w:type="dxa"/>
            <w:vAlign w:val="center"/>
          </w:tcPr>
          <w:p>
            <w:pPr>
              <w:spacing w:line="0" w:lineRule="atLeast"/>
              <w:jc w:val="center"/>
              <w:rPr>
                <w:rFonts w:ascii="Times New Roman" w:hAnsi="Times New Roman"/>
                <w:snapToGrid w:val="0"/>
                <w:kern w:val="0"/>
                <w:sz w:val="21"/>
                <w:szCs w:val="21"/>
              </w:rPr>
            </w:pPr>
            <w:r>
              <w:rPr>
                <w:rFonts w:ascii="Times New Roman" w:hAnsi="Times New Roman"/>
                <w:sz w:val="21"/>
                <w:szCs w:val="21"/>
              </w:rPr>
              <w:t>4286948</w:t>
            </w:r>
          </w:p>
        </w:tc>
        <w:tc>
          <w:tcPr>
            <w:tcW w:w="1487" w:type="dxa"/>
            <w:vAlign w:val="center"/>
          </w:tcPr>
          <w:p>
            <w:pPr>
              <w:spacing w:line="0" w:lineRule="atLeast"/>
              <w:jc w:val="center"/>
              <w:rPr>
                <w:rFonts w:ascii="Times New Roman" w:hAnsi="Times New Roman"/>
                <w:snapToGrid w:val="0"/>
                <w:kern w:val="0"/>
                <w:sz w:val="21"/>
                <w:szCs w:val="21"/>
              </w:rPr>
            </w:pPr>
            <w:r>
              <w:rPr>
                <w:rFonts w:ascii="Times New Roman" w:hAnsi="Times New Roman"/>
                <w:sz w:val="21"/>
                <w:szCs w:val="21"/>
              </w:rPr>
              <w:t>38452318</w:t>
            </w:r>
          </w:p>
        </w:tc>
        <w:tc>
          <w:tcPr>
            <w:tcW w:w="1378" w:type="dxa"/>
            <w:vAlign w:val="center"/>
          </w:tcPr>
          <w:p>
            <w:pPr>
              <w:spacing w:line="0" w:lineRule="atLeast"/>
              <w:jc w:val="center"/>
              <w:rPr>
                <w:rFonts w:ascii="Times New Roman" w:hAnsi="Times New Roman"/>
                <w:snapToGrid w:val="0"/>
                <w:kern w:val="0"/>
                <w:sz w:val="21"/>
                <w:szCs w:val="21"/>
              </w:rPr>
            </w:pPr>
            <w:r>
              <w:rPr>
                <w:rFonts w:ascii="Times New Roman" w:hAnsi="Times New Roman"/>
                <w:sz w:val="21"/>
                <w:szCs w:val="21"/>
              </w:rPr>
              <w:t>4289660</w:t>
            </w:r>
          </w:p>
        </w:tc>
        <w:tc>
          <w:tcPr>
            <w:tcW w:w="1487" w:type="dxa"/>
            <w:vAlign w:val="center"/>
          </w:tcPr>
          <w:p>
            <w:pPr>
              <w:spacing w:line="0" w:lineRule="atLeast"/>
              <w:jc w:val="center"/>
              <w:rPr>
                <w:rFonts w:ascii="Times New Roman" w:hAnsi="Times New Roman"/>
                <w:snapToGrid w:val="0"/>
                <w:kern w:val="0"/>
                <w:sz w:val="21"/>
                <w:szCs w:val="21"/>
              </w:rPr>
            </w:pPr>
            <w:r>
              <w:rPr>
                <w:rFonts w:ascii="Times New Roman" w:hAnsi="Times New Roman"/>
                <w:sz w:val="21"/>
                <w:szCs w:val="21"/>
              </w:rPr>
              <w:t>19713260</w:t>
            </w:r>
          </w:p>
        </w:tc>
        <w:tc>
          <w:tcPr>
            <w:tcW w:w="1644" w:type="dxa"/>
            <w:tcBorders>
              <w:top w:val="single" w:color="auto" w:sz="4" w:space="0"/>
              <w:bottom w:val="single" w:color="auto" w:sz="4" w:space="0"/>
              <w:right w:val="single" w:color="auto" w:sz="4" w:space="0"/>
            </w:tcBorders>
            <w:vAlign w:val="center"/>
          </w:tcPr>
          <w:p>
            <w:pPr>
              <w:jc w:val="center"/>
              <w:rPr>
                <w:rFonts w:ascii="Times New Roman" w:hAnsi="Times New Roman"/>
                <w:sz w:val="21"/>
                <w:szCs w:val="21"/>
              </w:rPr>
            </w:pPr>
            <w:r>
              <w:rPr>
                <w:rFonts w:ascii="Times New Roman" w:hAnsi="Times New Roman"/>
                <w:sz w:val="21"/>
                <w:szCs w:val="21"/>
              </w:rPr>
              <w:t>113°27′06″</w:t>
            </w:r>
          </w:p>
        </w:tc>
        <w:tc>
          <w:tcPr>
            <w:tcW w:w="1411" w:type="dxa"/>
            <w:tcBorders>
              <w:top w:val="single" w:color="auto" w:sz="4" w:space="0"/>
              <w:left w:val="single" w:color="auto" w:sz="4" w:space="0"/>
              <w:bottom w:val="single" w:color="auto" w:sz="4" w:space="0"/>
            </w:tcBorders>
            <w:vAlign w:val="center"/>
          </w:tcPr>
          <w:p>
            <w:pPr>
              <w:jc w:val="center"/>
              <w:rPr>
                <w:rFonts w:ascii="Times New Roman" w:hAnsi="Times New Roman"/>
                <w:sz w:val="21"/>
                <w:szCs w:val="21"/>
              </w:rPr>
            </w:pPr>
            <w:r>
              <w:rPr>
                <w:rFonts w:ascii="Times New Roman" w:hAnsi="Times New Roman"/>
                <w:sz w:val="21"/>
                <w:szCs w:val="21"/>
              </w:rPr>
              <w:t>38°42′49″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3" w:hRule="atLeast"/>
          <w:jc w:val="center"/>
        </w:trPr>
        <w:tc>
          <w:tcPr>
            <w:tcW w:w="445" w:type="dxa"/>
            <w:vMerge w:val="restart"/>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点</w:t>
            </w:r>
          </w:p>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号</w:t>
            </w:r>
          </w:p>
        </w:tc>
        <w:tc>
          <w:tcPr>
            <w:tcW w:w="8785" w:type="dxa"/>
            <w:gridSpan w:val="6"/>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西安80坐标系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3" w:hRule="atLeast"/>
          <w:jc w:val="center"/>
        </w:trPr>
        <w:tc>
          <w:tcPr>
            <w:tcW w:w="445" w:type="dxa"/>
            <w:vMerge w:val="continue"/>
            <w:vAlign w:val="center"/>
          </w:tcPr>
          <w:p>
            <w:pPr>
              <w:spacing w:line="0" w:lineRule="atLeast"/>
              <w:jc w:val="center"/>
              <w:rPr>
                <w:rFonts w:ascii="Times New Roman" w:hAnsi="Times New Roman"/>
                <w:snapToGrid w:val="0"/>
                <w:kern w:val="0"/>
                <w:sz w:val="21"/>
                <w:szCs w:val="21"/>
              </w:rPr>
            </w:pPr>
          </w:p>
        </w:tc>
        <w:tc>
          <w:tcPr>
            <w:tcW w:w="2865" w:type="dxa"/>
            <w:gridSpan w:val="2"/>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3度带</w:t>
            </w:r>
          </w:p>
        </w:tc>
        <w:tc>
          <w:tcPr>
            <w:tcW w:w="2865" w:type="dxa"/>
            <w:gridSpan w:val="2"/>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6度带</w:t>
            </w:r>
          </w:p>
        </w:tc>
        <w:tc>
          <w:tcPr>
            <w:tcW w:w="3055" w:type="dxa"/>
            <w:gridSpan w:val="2"/>
            <w:tcBorders>
              <w:top w:val="single" w:color="auto" w:sz="4" w:space="0"/>
              <w:bottom w:val="single" w:color="auto"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经纬度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3" w:hRule="atLeast"/>
          <w:jc w:val="center"/>
        </w:trPr>
        <w:tc>
          <w:tcPr>
            <w:tcW w:w="445" w:type="dxa"/>
            <w:vMerge w:val="continue"/>
            <w:vAlign w:val="center"/>
          </w:tcPr>
          <w:p>
            <w:pPr>
              <w:spacing w:line="0" w:lineRule="atLeast"/>
              <w:jc w:val="center"/>
              <w:rPr>
                <w:rFonts w:ascii="Times New Roman" w:hAnsi="Times New Roman"/>
                <w:snapToGrid w:val="0"/>
                <w:kern w:val="0"/>
                <w:sz w:val="21"/>
                <w:szCs w:val="21"/>
              </w:rPr>
            </w:pPr>
          </w:p>
        </w:tc>
        <w:tc>
          <w:tcPr>
            <w:tcW w:w="1378" w:type="dxa"/>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X</w:t>
            </w:r>
          </w:p>
        </w:tc>
        <w:tc>
          <w:tcPr>
            <w:tcW w:w="1487" w:type="dxa"/>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Y</w:t>
            </w:r>
          </w:p>
        </w:tc>
        <w:tc>
          <w:tcPr>
            <w:tcW w:w="1378" w:type="dxa"/>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X</w:t>
            </w:r>
          </w:p>
        </w:tc>
        <w:tc>
          <w:tcPr>
            <w:tcW w:w="1487" w:type="dxa"/>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Y</w:t>
            </w:r>
          </w:p>
        </w:tc>
        <w:tc>
          <w:tcPr>
            <w:tcW w:w="1644" w:type="dxa"/>
            <w:tcBorders>
              <w:top w:val="single" w:color="auto" w:sz="4" w:space="0"/>
              <w:bottom w:val="single" w:color="auto" w:sz="4" w:space="0"/>
              <w:right w:val="single" w:color="auto"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经度</w:t>
            </w:r>
          </w:p>
        </w:tc>
        <w:tc>
          <w:tcPr>
            <w:tcW w:w="1411" w:type="dxa"/>
            <w:tcBorders>
              <w:top w:val="single" w:color="auto" w:sz="4" w:space="0"/>
              <w:left w:val="single" w:color="auto" w:sz="4" w:space="0"/>
              <w:bottom w:val="single" w:color="auto"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纬度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3" w:hRule="atLeast"/>
          <w:jc w:val="center"/>
        </w:trPr>
        <w:tc>
          <w:tcPr>
            <w:tcW w:w="445"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1</w:t>
            </w:r>
          </w:p>
        </w:tc>
        <w:tc>
          <w:tcPr>
            <w:tcW w:w="1378"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z w:val="21"/>
                <w:szCs w:val="21"/>
              </w:rPr>
              <w:t>4287142.57</w:t>
            </w:r>
          </w:p>
        </w:tc>
        <w:tc>
          <w:tcPr>
            <w:tcW w:w="1487"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z w:val="21"/>
                <w:szCs w:val="21"/>
              </w:rPr>
              <w:t>38452260.80</w:t>
            </w:r>
          </w:p>
        </w:tc>
        <w:tc>
          <w:tcPr>
            <w:tcW w:w="1378"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z w:val="21"/>
                <w:szCs w:val="21"/>
              </w:rPr>
              <w:t>4289852.68</w:t>
            </w:r>
          </w:p>
        </w:tc>
        <w:tc>
          <w:tcPr>
            <w:tcW w:w="1487"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z w:val="21"/>
                <w:szCs w:val="21"/>
              </w:rPr>
              <w:t>19713189.59</w:t>
            </w:r>
          </w:p>
        </w:tc>
        <w:tc>
          <w:tcPr>
            <w:tcW w:w="1644" w:type="dxa"/>
            <w:tcBorders>
              <w:top w:val="single" w:color="auto" w:sz="4" w:space="0"/>
              <w:left w:val="single" w:color="000000" w:sz="4" w:space="0"/>
              <w:bottom w:val="single" w:color="auto" w:sz="4" w:space="0"/>
              <w:right w:val="single" w:color="auto" w:sz="4" w:space="0"/>
            </w:tcBorders>
            <w:vAlign w:val="center"/>
          </w:tcPr>
          <w:p>
            <w:pPr>
              <w:jc w:val="center"/>
              <w:rPr>
                <w:rFonts w:ascii="Times New Roman" w:hAnsi="Times New Roman"/>
                <w:sz w:val="21"/>
                <w:szCs w:val="21"/>
              </w:rPr>
            </w:pPr>
            <w:r>
              <w:rPr>
                <w:rFonts w:ascii="Times New Roman" w:hAnsi="Times New Roman"/>
                <w:sz w:val="21"/>
                <w:szCs w:val="21"/>
              </w:rPr>
              <w:t>113°27′04″</w:t>
            </w:r>
          </w:p>
        </w:tc>
        <w:tc>
          <w:tcPr>
            <w:tcW w:w="1411" w:type="dxa"/>
            <w:tcBorders>
              <w:top w:val="single" w:color="auto" w:sz="4" w:space="0"/>
              <w:left w:val="single" w:color="auto" w:sz="4" w:space="0"/>
              <w:bottom w:val="single" w:color="auto" w:sz="4" w:space="0"/>
              <w:right w:val="single" w:color="000000" w:sz="4" w:space="0"/>
            </w:tcBorders>
            <w:vAlign w:val="center"/>
          </w:tcPr>
          <w:p>
            <w:pPr>
              <w:jc w:val="center"/>
              <w:rPr>
                <w:rFonts w:ascii="Times New Roman" w:hAnsi="Times New Roman"/>
                <w:sz w:val="21"/>
                <w:szCs w:val="21"/>
              </w:rPr>
            </w:pPr>
            <w:r>
              <w:rPr>
                <w:rFonts w:ascii="Times New Roman" w:hAnsi="Times New Roman"/>
                <w:sz w:val="21"/>
                <w:szCs w:val="21"/>
              </w:rPr>
              <w:t>38°42′58″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3" w:hRule="atLeast"/>
          <w:jc w:val="center"/>
        </w:trPr>
        <w:tc>
          <w:tcPr>
            <w:tcW w:w="445"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2</w:t>
            </w:r>
          </w:p>
        </w:tc>
        <w:tc>
          <w:tcPr>
            <w:tcW w:w="1378"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z w:val="21"/>
                <w:szCs w:val="21"/>
              </w:rPr>
              <w:t>4287136.68</w:t>
            </w:r>
          </w:p>
        </w:tc>
        <w:tc>
          <w:tcPr>
            <w:tcW w:w="1487"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z w:val="21"/>
                <w:szCs w:val="21"/>
              </w:rPr>
              <w:t>38452440.61</w:t>
            </w:r>
          </w:p>
        </w:tc>
        <w:tc>
          <w:tcPr>
            <w:tcW w:w="1378"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z w:val="21"/>
                <w:szCs w:val="21"/>
              </w:rPr>
              <w:t>4289852.68</w:t>
            </w:r>
          </w:p>
        </w:tc>
        <w:tc>
          <w:tcPr>
            <w:tcW w:w="1487"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z w:val="21"/>
                <w:szCs w:val="21"/>
              </w:rPr>
              <w:t>19713369.59</w:t>
            </w:r>
          </w:p>
        </w:tc>
        <w:tc>
          <w:tcPr>
            <w:tcW w:w="1644" w:type="dxa"/>
            <w:tcBorders>
              <w:top w:val="single" w:color="auto" w:sz="4" w:space="0"/>
              <w:left w:val="single" w:color="000000" w:sz="4" w:space="0"/>
              <w:bottom w:val="single" w:color="auto" w:sz="4" w:space="0"/>
              <w:right w:val="single" w:color="auto" w:sz="4" w:space="0"/>
            </w:tcBorders>
            <w:vAlign w:val="center"/>
          </w:tcPr>
          <w:p>
            <w:pPr>
              <w:jc w:val="center"/>
              <w:rPr>
                <w:rFonts w:ascii="Times New Roman" w:hAnsi="Times New Roman"/>
                <w:sz w:val="21"/>
                <w:szCs w:val="21"/>
              </w:rPr>
            </w:pPr>
            <w:r>
              <w:rPr>
                <w:rFonts w:ascii="Times New Roman" w:hAnsi="Times New Roman"/>
                <w:sz w:val="21"/>
                <w:szCs w:val="21"/>
              </w:rPr>
              <w:t>113°27′11″</w:t>
            </w:r>
          </w:p>
        </w:tc>
        <w:tc>
          <w:tcPr>
            <w:tcW w:w="1411" w:type="dxa"/>
            <w:tcBorders>
              <w:top w:val="single" w:color="auto" w:sz="4" w:space="0"/>
              <w:left w:val="single" w:color="auto" w:sz="4" w:space="0"/>
              <w:bottom w:val="single" w:color="auto" w:sz="4" w:space="0"/>
              <w:right w:val="single" w:color="000000" w:sz="4" w:space="0"/>
            </w:tcBorders>
            <w:vAlign w:val="center"/>
          </w:tcPr>
          <w:p>
            <w:pPr>
              <w:jc w:val="center"/>
              <w:rPr>
                <w:rFonts w:ascii="Times New Roman" w:hAnsi="Times New Roman"/>
                <w:sz w:val="21"/>
                <w:szCs w:val="21"/>
              </w:rPr>
            </w:pPr>
            <w:r>
              <w:rPr>
                <w:rFonts w:ascii="Times New Roman" w:hAnsi="Times New Roman"/>
                <w:sz w:val="21"/>
                <w:szCs w:val="21"/>
              </w:rPr>
              <w:t>38°42′58″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3" w:hRule="atLeast"/>
          <w:jc w:val="center"/>
        </w:trPr>
        <w:tc>
          <w:tcPr>
            <w:tcW w:w="445"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3</w:t>
            </w:r>
          </w:p>
        </w:tc>
        <w:tc>
          <w:tcPr>
            <w:tcW w:w="1378"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z w:val="21"/>
                <w:szCs w:val="21"/>
              </w:rPr>
              <w:t>4286896.94</w:t>
            </w:r>
          </w:p>
        </w:tc>
        <w:tc>
          <w:tcPr>
            <w:tcW w:w="1487"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z w:val="21"/>
                <w:szCs w:val="21"/>
              </w:rPr>
              <w:t>38452432.75</w:t>
            </w:r>
          </w:p>
        </w:tc>
        <w:tc>
          <w:tcPr>
            <w:tcW w:w="1378"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z w:val="21"/>
                <w:szCs w:val="21"/>
              </w:rPr>
              <w:t>4289612.69</w:t>
            </w:r>
          </w:p>
        </w:tc>
        <w:tc>
          <w:tcPr>
            <w:tcW w:w="1487"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z w:val="21"/>
                <w:szCs w:val="21"/>
              </w:rPr>
              <w:t>19713369.59</w:t>
            </w:r>
          </w:p>
        </w:tc>
        <w:tc>
          <w:tcPr>
            <w:tcW w:w="1644" w:type="dxa"/>
            <w:tcBorders>
              <w:top w:val="single" w:color="auto" w:sz="4" w:space="0"/>
              <w:left w:val="single" w:color="000000" w:sz="4" w:space="0"/>
              <w:bottom w:val="single" w:color="auto" w:sz="4" w:space="0"/>
              <w:right w:val="single" w:color="auto" w:sz="4" w:space="0"/>
            </w:tcBorders>
            <w:vAlign w:val="center"/>
          </w:tcPr>
          <w:p>
            <w:pPr>
              <w:jc w:val="center"/>
              <w:rPr>
                <w:rFonts w:ascii="Times New Roman" w:hAnsi="Times New Roman"/>
                <w:sz w:val="21"/>
                <w:szCs w:val="21"/>
              </w:rPr>
            </w:pPr>
            <w:r>
              <w:rPr>
                <w:rFonts w:ascii="Times New Roman" w:hAnsi="Times New Roman"/>
                <w:sz w:val="21"/>
                <w:szCs w:val="21"/>
              </w:rPr>
              <w:t>113°27′11″</w:t>
            </w:r>
          </w:p>
        </w:tc>
        <w:tc>
          <w:tcPr>
            <w:tcW w:w="1411" w:type="dxa"/>
            <w:tcBorders>
              <w:top w:val="single" w:color="auto" w:sz="4" w:space="0"/>
              <w:left w:val="single" w:color="auto" w:sz="4" w:space="0"/>
              <w:bottom w:val="single" w:color="auto" w:sz="4" w:space="0"/>
              <w:right w:val="single" w:color="000000" w:sz="4" w:space="0"/>
            </w:tcBorders>
            <w:vAlign w:val="center"/>
          </w:tcPr>
          <w:p>
            <w:pPr>
              <w:jc w:val="center"/>
              <w:rPr>
                <w:rFonts w:ascii="Times New Roman" w:hAnsi="Times New Roman"/>
                <w:sz w:val="21"/>
                <w:szCs w:val="21"/>
              </w:rPr>
            </w:pPr>
            <w:r>
              <w:rPr>
                <w:rFonts w:ascii="Times New Roman" w:hAnsi="Times New Roman"/>
                <w:sz w:val="21"/>
                <w:szCs w:val="21"/>
              </w:rPr>
              <w:t>38°42′50″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3" w:hRule="atLeast"/>
          <w:jc w:val="center"/>
        </w:trPr>
        <w:tc>
          <w:tcPr>
            <w:tcW w:w="445"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4</w:t>
            </w:r>
          </w:p>
        </w:tc>
        <w:tc>
          <w:tcPr>
            <w:tcW w:w="1378"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z w:val="21"/>
                <w:szCs w:val="21"/>
              </w:rPr>
              <w:t>4286902.83</w:t>
            </w:r>
          </w:p>
        </w:tc>
        <w:tc>
          <w:tcPr>
            <w:tcW w:w="1487"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z w:val="21"/>
                <w:szCs w:val="21"/>
              </w:rPr>
              <w:t>38452252.95</w:t>
            </w:r>
          </w:p>
        </w:tc>
        <w:tc>
          <w:tcPr>
            <w:tcW w:w="1378"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z w:val="21"/>
                <w:szCs w:val="21"/>
              </w:rPr>
              <w:t>4289612.69</w:t>
            </w:r>
          </w:p>
        </w:tc>
        <w:tc>
          <w:tcPr>
            <w:tcW w:w="1487"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z w:val="21"/>
                <w:szCs w:val="21"/>
              </w:rPr>
              <w:t>19713189.59</w:t>
            </w:r>
          </w:p>
        </w:tc>
        <w:tc>
          <w:tcPr>
            <w:tcW w:w="1644" w:type="dxa"/>
            <w:tcBorders>
              <w:top w:val="single" w:color="auto" w:sz="4" w:space="0"/>
              <w:left w:val="single" w:color="000000" w:sz="4" w:space="0"/>
              <w:bottom w:val="single" w:color="auto" w:sz="4" w:space="0"/>
              <w:right w:val="single" w:color="auto" w:sz="4" w:space="0"/>
            </w:tcBorders>
            <w:vAlign w:val="center"/>
          </w:tcPr>
          <w:p>
            <w:pPr>
              <w:jc w:val="center"/>
              <w:rPr>
                <w:rFonts w:ascii="Times New Roman" w:hAnsi="Times New Roman"/>
                <w:sz w:val="21"/>
                <w:szCs w:val="21"/>
              </w:rPr>
            </w:pPr>
            <w:r>
              <w:rPr>
                <w:rFonts w:ascii="Times New Roman" w:hAnsi="Times New Roman"/>
                <w:sz w:val="21"/>
                <w:szCs w:val="21"/>
              </w:rPr>
              <w:t>113°27′04″</w:t>
            </w:r>
          </w:p>
        </w:tc>
        <w:tc>
          <w:tcPr>
            <w:tcW w:w="1411" w:type="dxa"/>
            <w:tcBorders>
              <w:top w:val="single" w:color="auto" w:sz="4" w:space="0"/>
              <w:left w:val="single" w:color="auto" w:sz="4" w:space="0"/>
              <w:bottom w:val="single" w:color="auto" w:sz="4" w:space="0"/>
              <w:right w:val="single" w:color="000000" w:sz="4" w:space="0"/>
            </w:tcBorders>
            <w:vAlign w:val="center"/>
          </w:tcPr>
          <w:p>
            <w:pPr>
              <w:jc w:val="center"/>
              <w:rPr>
                <w:rFonts w:ascii="Times New Roman" w:hAnsi="Times New Roman"/>
                <w:sz w:val="21"/>
                <w:szCs w:val="21"/>
              </w:rPr>
            </w:pPr>
            <w:r>
              <w:rPr>
                <w:rFonts w:ascii="Times New Roman" w:hAnsi="Times New Roman"/>
                <w:sz w:val="21"/>
                <w:szCs w:val="21"/>
              </w:rPr>
              <w:t>38°42′50″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3" w:hRule="atLeast"/>
          <w:jc w:val="center"/>
        </w:trPr>
        <w:tc>
          <w:tcPr>
            <w:tcW w:w="445" w:type="dxa"/>
            <w:vMerge w:val="restart"/>
            <w:tcBorders>
              <w:top w:val="single" w:color="000000" w:sz="4" w:space="0"/>
              <w:left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点</w:t>
            </w:r>
          </w:p>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号</w:t>
            </w:r>
          </w:p>
        </w:tc>
        <w:tc>
          <w:tcPr>
            <w:tcW w:w="8785" w:type="dxa"/>
            <w:gridSpan w:val="6"/>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CGCS2000坐标系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3" w:hRule="atLeast"/>
          <w:jc w:val="center"/>
        </w:trPr>
        <w:tc>
          <w:tcPr>
            <w:tcW w:w="445" w:type="dxa"/>
            <w:vMerge w:val="continue"/>
            <w:tcBorders>
              <w:top w:val="single" w:color="000000" w:sz="4" w:space="0"/>
              <w:left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p>
        </w:tc>
        <w:tc>
          <w:tcPr>
            <w:tcW w:w="2865" w:type="dxa"/>
            <w:gridSpan w:val="2"/>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3度带</w:t>
            </w:r>
          </w:p>
        </w:tc>
        <w:tc>
          <w:tcPr>
            <w:tcW w:w="2865" w:type="dxa"/>
            <w:gridSpan w:val="2"/>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6度带</w:t>
            </w:r>
          </w:p>
        </w:tc>
        <w:tc>
          <w:tcPr>
            <w:tcW w:w="3055" w:type="dxa"/>
            <w:gridSpan w:val="2"/>
            <w:tcBorders>
              <w:top w:val="single" w:color="auto" w:sz="4" w:space="0"/>
              <w:left w:val="single" w:color="000000" w:sz="4" w:space="0"/>
              <w:bottom w:val="single" w:color="auto"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经纬度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3" w:hRule="atLeast"/>
          <w:jc w:val="center"/>
        </w:trPr>
        <w:tc>
          <w:tcPr>
            <w:tcW w:w="445" w:type="dxa"/>
            <w:vMerge w:val="continue"/>
            <w:tcBorders>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p>
        </w:tc>
        <w:tc>
          <w:tcPr>
            <w:tcW w:w="1378"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X</w:t>
            </w:r>
          </w:p>
        </w:tc>
        <w:tc>
          <w:tcPr>
            <w:tcW w:w="1487"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Y</w:t>
            </w:r>
          </w:p>
        </w:tc>
        <w:tc>
          <w:tcPr>
            <w:tcW w:w="1378"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X</w:t>
            </w:r>
          </w:p>
        </w:tc>
        <w:tc>
          <w:tcPr>
            <w:tcW w:w="1487"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Y</w:t>
            </w:r>
          </w:p>
        </w:tc>
        <w:tc>
          <w:tcPr>
            <w:tcW w:w="1644" w:type="dxa"/>
            <w:tcBorders>
              <w:top w:val="single" w:color="auto" w:sz="4" w:space="0"/>
              <w:left w:val="single" w:color="000000" w:sz="4" w:space="0"/>
              <w:bottom w:val="single" w:color="auto" w:sz="4" w:space="0"/>
              <w:right w:val="single" w:color="auto"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经度</w:t>
            </w:r>
          </w:p>
        </w:tc>
        <w:tc>
          <w:tcPr>
            <w:tcW w:w="1411" w:type="dxa"/>
            <w:tcBorders>
              <w:top w:val="single" w:color="auto" w:sz="4" w:space="0"/>
              <w:left w:val="single" w:color="auto" w:sz="4" w:space="0"/>
              <w:bottom w:val="single" w:color="auto"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纬度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3" w:hRule="atLeast"/>
          <w:jc w:val="center"/>
        </w:trPr>
        <w:tc>
          <w:tcPr>
            <w:tcW w:w="445"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1</w:t>
            </w:r>
          </w:p>
        </w:tc>
        <w:tc>
          <w:tcPr>
            <w:tcW w:w="1378"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4287144.69</w:t>
            </w:r>
          </w:p>
        </w:tc>
        <w:tc>
          <w:tcPr>
            <w:tcW w:w="1487"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38452377.05</w:t>
            </w:r>
          </w:p>
        </w:tc>
        <w:tc>
          <w:tcPr>
            <w:tcW w:w="1378"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4289858.60</w:t>
            </w:r>
          </w:p>
        </w:tc>
        <w:tc>
          <w:tcPr>
            <w:tcW w:w="1487"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19713305.58</w:t>
            </w:r>
          </w:p>
        </w:tc>
        <w:tc>
          <w:tcPr>
            <w:tcW w:w="1644" w:type="dxa"/>
            <w:tcBorders>
              <w:top w:val="single" w:color="auto" w:sz="4" w:space="0"/>
              <w:left w:val="single" w:color="000000" w:sz="4" w:space="0"/>
              <w:bottom w:val="single" w:color="auto" w:sz="4" w:space="0"/>
              <w:right w:val="single" w:color="auto"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113°27′09″</w:t>
            </w:r>
          </w:p>
        </w:tc>
        <w:tc>
          <w:tcPr>
            <w:tcW w:w="1411" w:type="dxa"/>
            <w:tcBorders>
              <w:top w:val="single" w:color="auto" w:sz="4" w:space="0"/>
              <w:left w:val="single" w:color="auto" w:sz="4" w:space="0"/>
              <w:bottom w:val="single" w:color="auto"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38°42′58″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3" w:hRule="atLeast"/>
          <w:jc w:val="center"/>
        </w:trPr>
        <w:tc>
          <w:tcPr>
            <w:tcW w:w="445"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2</w:t>
            </w:r>
          </w:p>
        </w:tc>
        <w:tc>
          <w:tcPr>
            <w:tcW w:w="1378"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4287138.80</w:t>
            </w:r>
          </w:p>
        </w:tc>
        <w:tc>
          <w:tcPr>
            <w:tcW w:w="1487"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38452556.86</w:t>
            </w:r>
          </w:p>
        </w:tc>
        <w:tc>
          <w:tcPr>
            <w:tcW w:w="1378"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4289858.61</w:t>
            </w:r>
          </w:p>
        </w:tc>
        <w:tc>
          <w:tcPr>
            <w:tcW w:w="1487"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19713485.58</w:t>
            </w:r>
          </w:p>
        </w:tc>
        <w:tc>
          <w:tcPr>
            <w:tcW w:w="1644" w:type="dxa"/>
            <w:tcBorders>
              <w:top w:val="single" w:color="auto" w:sz="4" w:space="0"/>
              <w:left w:val="single" w:color="000000" w:sz="4" w:space="0"/>
              <w:bottom w:val="single" w:color="auto" w:sz="4" w:space="0"/>
              <w:right w:val="single" w:color="auto"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113°27′16″</w:t>
            </w:r>
          </w:p>
        </w:tc>
        <w:tc>
          <w:tcPr>
            <w:tcW w:w="1411" w:type="dxa"/>
            <w:tcBorders>
              <w:top w:val="single" w:color="auto" w:sz="4" w:space="0"/>
              <w:left w:val="single" w:color="auto" w:sz="4" w:space="0"/>
              <w:bottom w:val="single" w:color="auto"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38°42′58″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3" w:hRule="atLeast"/>
          <w:jc w:val="center"/>
        </w:trPr>
        <w:tc>
          <w:tcPr>
            <w:tcW w:w="445"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3</w:t>
            </w:r>
          </w:p>
        </w:tc>
        <w:tc>
          <w:tcPr>
            <w:tcW w:w="1378"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4286899.06</w:t>
            </w:r>
          </w:p>
        </w:tc>
        <w:tc>
          <w:tcPr>
            <w:tcW w:w="1487"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38452549.00</w:t>
            </w:r>
          </w:p>
        </w:tc>
        <w:tc>
          <w:tcPr>
            <w:tcW w:w="1378"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4289618.61</w:t>
            </w:r>
          </w:p>
        </w:tc>
        <w:tc>
          <w:tcPr>
            <w:tcW w:w="1487"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19713485.58</w:t>
            </w:r>
          </w:p>
        </w:tc>
        <w:tc>
          <w:tcPr>
            <w:tcW w:w="1644" w:type="dxa"/>
            <w:tcBorders>
              <w:top w:val="single" w:color="auto" w:sz="4" w:space="0"/>
              <w:left w:val="single" w:color="000000" w:sz="4" w:space="0"/>
              <w:bottom w:val="single" w:color="auto" w:sz="4" w:space="0"/>
              <w:right w:val="single" w:color="auto"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113°27′16″</w:t>
            </w:r>
          </w:p>
        </w:tc>
        <w:tc>
          <w:tcPr>
            <w:tcW w:w="1411" w:type="dxa"/>
            <w:tcBorders>
              <w:top w:val="single" w:color="auto" w:sz="4" w:space="0"/>
              <w:left w:val="single" w:color="auto" w:sz="4" w:space="0"/>
              <w:bottom w:val="single" w:color="auto"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38°42′51″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3" w:hRule="atLeast"/>
          <w:jc w:val="center"/>
        </w:trPr>
        <w:tc>
          <w:tcPr>
            <w:tcW w:w="445"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4</w:t>
            </w:r>
          </w:p>
        </w:tc>
        <w:tc>
          <w:tcPr>
            <w:tcW w:w="1378"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4286904.95</w:t>
            </w:r>
          </w:p>
        </w:tc>
        <w:tc>
          <w:tcPr>
            <w:tcW w:w="1487"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38452369.20</w:t>
            </w:r>
          </w:p>
        </w:tc>
        <w:tc>
          <w:tcPr>
            <w:tcW w:w="1378"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4289618.61</w:t>
            </w:r>
          </w:p>
        </w:tc>
        <w:tc>
          <w:tcPr>
            <w:tcW w:w="1487"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19713305.59</w:t>
            </w:r>
          </w:p>
        </w:tc>
        <w:tc>
          <w:tcPr>
            <w:tcW w:w="1644" w:type="dxa"/>
            <w:tcBorders>
              <w:top w:val="single" w:color="auto" w:sz="4" w:space="0"/>
              <w:left w:val="single" w:color="000000" w:sz="4" w:space="0"/>
              <w:bottom w:val="single" w:color="auto" w:sz="4" w:space="0"/>
              <w:right w:val="single" w:color="auto"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113°27′08″</w:t>
            </w:r>
          </w:p>
        </w:tc>
        <w:tc>
          <w:tcPr>
            <w:tcW w:w="1411" w:type="dxa"/>
            <w:tcBorders>
              <w:top w:val="single" w:color="auto" w:sz="4" w:space="0"/>
              <w:left w:val="single" w:color="auto" w:sz="4" w:space="0"/>
              <w:bottom w:val="single" w:color="auto" w:sz="4" w:space="0"/>
              <w:right w:val="single" w:color="000000" w:sz="4" w:space="0"/>
            </w:tcBorders>
            <w:vAlign w:val="center"/>
          </w:tcPr>
          <w:p>
            <w:pPr>
              <w:spacing w:line="0" w:lineRule="atLeast"/>
              <w:jc w:val="center"/>
              <w:rPr>
                <w:rFonts w:ascii="Times New Roman" w:hAnsi="Times New Roman"/>
                <w:snapToGrid w:val="0"/>
                <w:kern w:val="0"/>
                <w:sz w:val="21"/>
                <w:szCs w:val="21"/>
              </w:rPr>
            </w:pPr>
            <w:r>
              <w:rPr>
                <w:rFonts w:ascii="Times New Roman" w:hAnsi="Times New Roman"/>
                <w:snapToGrid w:val="0"/>
                <w:kern w:val="0"/>
                <w:sz w:val="21"/>
                <w:szCs w:val="21"/>
              </w:rPr>
              <w:t>38°42′51″</w:t>
            </w:r>
          </w:p>
        </w:tc>
      </w:tr>
    </w:tbl>
    <w:p>
      <w:pPr>
        <w:ind w:firstLine="496"/>
        <w:rPr>
          <w:rFonts w:ascii="Times New Roman" w:hAnsi="Times New Roman"/>
        </w:rPr>
      </w:pPr>
      <w:r>
        <w:rPr>
          <w:rFonts w:ascii="Times New Roman" w:hAnsi="Times New Roman"/>
        </w:rPr>
        <w:t>矿区位于五台县城东90°方向，高洪口乡河口村北，距五台县城直距约18km处，行政区划隶属五台县高洪口乡管辖。</w:t>
      </w:r>
    </w:p>
    <w:p>
      <w:pPr>
        <w:ind w:firstLine="496"/>
        <w:rPr>
          <w:rFonts w:ascii="Times New Roman" w:hAnsi="Times New Roman"/>
        </w:rPr>
        <w:sectPr>
          <w:pgSz w:w="11907" w:h="16840"/>
          <w:pgMar w:top="1418" w:right="1418" w:bottom="1418" w:left="1418" w:header="850" w:footer="850" w:gutter="0"/>
          <w:cols w:space="720" w:num="1"/>
          <w:docGrid w:linePitch="326" w:charSpace="0"/>
        </w:sectPr>
      </w:pPr>
      <w:r>
        <w:rPr>
          <w:rFonts w:ascii="Times New Roman" w:hAnsi="Times New Roman"/>
        </w:rPr>
        <w:t>矿区距忻阜高速公路耿镇收费站约18.0km，距忻阜高速直距约2km（不可视范围），距337国道直距约1.7km，距025乡道直距约55m，之间有矿区道路相通，交通较为方便（详见交通位置图）。</w:t>
      </w:r>
    </w:p>
    <w:p>
      <w:pPr>
        <w:ind w:firstLine="496"/>
        <w:rPr>
          <w:rFonts w:ascii="Times New Roman" w:hAnsi="Times New Roman"/>
        </w:rPr>
      </w:pPr>
      <w:r>
        <w:rPr>
          <w:rFonts w:ascii="Times New Roman" w:hAnsi="Times New Roman"/>
        </w:rPr>
        <w:drawing>
          <wp:anchor distT="0" distB="0" distL="114300" distR="114300" simplePos="0" relativeHeight="251669504" behindDoc="0" locked="0" layoutInCell="1" allowOverlap="1">
            <wp:simplePos x="0" y="0"/>
            <wp:positionH relativeFrom="column">
              <wp:posOffset>1139190</wp:posOffset>
            </wp:positionH>
            <wp:positionV relativeFrom="paragraph">
              <wp:posOffset>-56515</wp:posOffset>
            </wp:positionV>
            <wp:extent cx="6212205" cy="5475605"/>
            <wp:effectExtent l="19050" t="0" r="0" b="0"/>
            <wp:wrapNone/>
            <wp:docPr id="3" name="图片 1" descr="五台交通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五台交通图"/>
                    <pic:cNvPicPr>
                      <a:picLocks noChangeAspect="1" noChangeArrowheads="1"/>
                    </pic:cNvPicPr>
                  </pic:nvPicPr>
                  <pic:blipFill>
                    <a:blip r:embed="rId13" cstate="print"/>
                    <a:srcRect/>
                    <a:stretch>
                      <a:fillRect/>
                    </a:stretch>
                  </pic:blipFill>
                  <pic:spPr>
                    <a:xfrm>
                      <a:off x="0" y="0"/>
                      <a:ext cx="6216109" cy="5478740"/>
                    </a:xfrm>
                    <a:prstGeom prst="rect">
                      <a:avLst/>
                    </a:prstGeom>
                    <a:noFill/>
                    <a:ln w="9525">
                      <a:noFill/>
                      <a:miter lim="800000"/>
                      <a:headEnd/>
                      <a:tailEnd/>
                    </a:ln>
                  </pic:spPr>
                </pic:pic>
              </a:graphicData>
            </a:graphic>
          </wp:anchor>
        </w:drawing>
      </w:r>
    </w:p>
    <w:p>
      <w:pPr>
        <w:adjustRightInd w:val="0"/>
        <w:snapToGrid w:val="0"/>
        <w:spacing w:line="360" w:lineRule="auto"/>
        <w:jc w:val="center"/>
        <w:rPr>
          <w:rFonts w:ascii="Times New Roman" w:hAnsi="Times New Roman"/>
          <w:bCs/>
        </w:rPr>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jc w:val="center"/>
      </w:pPr>
      <w:r>
        <w:rPr>
          <w:rFonts w:ascii="Times New Roman" w:hAnsi="Times New Roman"/>
          <w:b/>
          <w:bCs/>
          <w:szCs w:val="24"/>
        </w:rPr>
        <w:t>图3-1 项目区交通地理位置图</w:t>
      </w:r>
    </w:p>
    <w:p>
      <w:pPr>
        <w:pStyle w:val="2"/>
        <w:sectPr>
          <w:pgSz w:w="16840" w:h="11907" w:orient="landscape"/>
          <w:pgMar w:top="1418" w:right="1418" w:bottom="1418" w:left="1418" w:header="850" w:footer="850" w:gutter="0"/>
          <w:cols w:space="720" w:num="1"/>
          <w:docGrid w:linePitch="326" w:charSpace="0"/>
        </w:sectPr>
      </w:pPr>
    </w:p>
    <w:p>
      <w:pPr>
        <w:pStyle w:val="31"/>
        <w:spacing w:line="500" w:lineRule="exact"/>
      </w:pPr>
      <w:bookmarkStart w:id="149" w:name="_Toc517445832"/>
      <w:bookmarkStart w:id="150" w:name="_Toc517446090"/>
      <w:bookmarkStart w:id="151" w:name="_Toc517445058"/>
      <w:bookmarkStart w:id="152" w:name="_Toc517446404"/>
      <w:bookmarkStart w:id="153" w:name="_Toc437"/>
      <w:bookmarkStart w:id="154" w:name="_Toc71036640"/>
      <w:r>
        <w:t>3.1.2地形地貌</w:t>
      </w:r>
      <w:bookmarkEnd w:id="149"/>
      <w:bookmarkEnd w:id="150"/>
      <w:bookmarkEnd w:id="151"/>
      <w:bookmarkEnd w:id="152"/>
      <w:bookmarkEnd w:id="153"/>
      <w:bookmarkEnd w:id="154"/>
    </w:p>
    <w:p>
      <w:pPr>
        <w:pStyle w:val="28"/>
        <w:ind w:firstLine="480" w:firstLineChars="200"/>
        <w:rPr>
          <w:rFonts w:ascii="Times New Roman" w:hAnsi="Times New Roman" w:cs="Times New Roman"/>
        </w:rPr>
      </w:pPr>
      <w:r>
        <w:rPr>
          <w:rFonts w:ascii="Times New Roman" w:hAnsi="Times New Roman" w:cs="Times New Roman"/>
        </w:rPr>
        <w:t>矿区位于五台山中部，矿区内地势总体东高西低，最高处位于矿区东部，地面标高为1100m，最低处位于矿区西部，地面标高为980m，最大相对高差为120m，区内最低侵蚀基准面标高为950m（淲阳河河床）。矿区内沟谷较发育，山坡坡度15～60°，地形坡度与岩层倾向斜交，坡度角大于岩层倾角。矿区内多为基岩裸露区，植被覆盖较少，由于气候干旱，风化作用强烈，形成以剥蚀作用为主的低中山地形地貌。</w:t>
      </w:r>
    </w:p>
    <w:p>
      <w:pPr>
        <w:pStyle w:val="28"/>
        <w:ind w:firstLine="480" w:firstLineChars="200"/>
        <w:rPr>
          <w:rFonts w:ascii="Times New Roman" w:hAnsi="Times New Roman" w:cs="Times New Roman"/>
        </w:rPr>
      </w:pPr>
      <w:r>
        <w:rPr>
          <w:rFonts w:ascii="Times New Roman" w:hAnsi="Times New Roman" w:cs="Times New Roman"/>
        </w:rPr>
        <w:t>矿区北部已形成一个走向北东-南西的以往露天剥采区一处，露天剥采区长约240m，宽约172m，最大垂直深度约90m，平台标高为1005.8m，面积2.4848hm</w:t>
      </w:r>
      <w:r>
        <w:rPr>
          <w:rFonts w:ascii="Times New Roman" w:hAnsi="Times New Roman" w:cs="Times New Roman"/>
          <w:vertAlign w:val="superscript"/>
        </w:rPr>
        <w:t>2</w:t>
      </w:r>
      <w:r>
        <w:rPr>
          <w:rFonts w:ascii="Times New Roman" w:hAnsi="Times New Roman" w:cs="Times New Roman"/>
        </w:rPr>
        <w:t>，其中矿界内面积0.1803 hm</w:t>
      </w:r>
      <w:r>
        <w:rPr>
          <w:rFonts w:ascii="Times New Roman" w:hAnsi="Times New Roman" w:cs="Times New Roman"/>
          <w:vertAlign w:val="superscript"/>
        </w:rPr>
        <w:t>2</w:t>
      </w:r>
      <w:r>
        <w:rPr>
          <w:rFonts w:ascii="Times New Roman" w:hAnsi="Times New Roman" w:cs="Times New Roman"/>
        </w:rPr>
        <w:t>，矿界外面积2.3045hm</w:t>
      </w:r>
      <w:r>
        <w:rPr>
          <w:rFonts w:ascii="Times New Roman" w:hAnsi="Times New Roman" w:cs="Times New Roman"/>
          <w:vertAlign w:val="superscript"/>
        </w:rPr>
        <w:t>2</w:t>
      </w:r>
      <w:r>
        <w:rPr>
          <w:rFonts w:ascii="Times New Roman" w:hAnsi="Times New Roman" w:cs="Times New Roman"/>
        </w:rPr>
        <w:t>，形成三个平台，局部边坡角较陡，局部边坡角约70°，矿区地形地貌见照片</w:t>
      </w:r>
      <w:r>
        <w:rPr>
          <w:rFonts w:hint="eastAsia" w:ascii="Times New Roman" w:hAnsi="Times New Roman" w:cs="Times New Roman"/>
        </w:rPr>
        <w:t>3</w:t>
      </w:r>
      <w:r>
        <w:rPr>
          <w:rFonts w:ascii="Times New Roman" w:hAnsi="Times New Roman" w:cs="Times New Roman"/>
        </w:rPr>
        <w:t>-1。</w:t>
      </w:r>
    </w:p>
    <w:p>
      <w:pPr>
        <w:pStyle w:val="43"/>
        <w:spacing w:line="420" w:lineRule="auto"/>
        <w:ind w:firstLine="0" w:firstLineChars="0"/>
        <w:jc w:val="center"/>
        <w:rPr>
          <w:b/>
          <w:szCs w:val="28"/>
          <w:bdr w:val="single" w:color="auto" w:sz="4" w:space="0"/>
        </w:rPr>
      </w:pPr>
      <w:r>
        <w:rPr>
          <w:b/>
          <w:szCs w:val="28"/>
          <w:bdr w:val="single" w:color="auto" w:sz="4" w:space="0"/>
        </w:rPr>
        <w:drawing>
          <wp:inline distT="0" distB="0" distL="0" distR="0">
            <wp:extent cx="3879850" cy="2188845"/>
            <wp:effectExtent l="19050" t="19050" r="25160" b="20783"/>
            <wp:docPr id="6" name="图片 4" descr="DJI_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DJI_0017"/>
                    <pic:cNvPicPr>
                      <a:picLocks noChangeAspect="1" noChangeArrowheads="1"/>
                    </pic:cNvPicPr>
                  </pic:nvPicPr>
                  <pic:blipFill>
                    <a:blip r:embed="rId14" cstate="print"/>
                    <a:srcRect/>
                    <a:stretch>
                      <a:fillRect/>
                    </a:stretch>
                  </pic:blipFill>
                  <pic:spPr>
                    <a:xfrm>
                      <a:off x="0" y="0"/>
                      <a:ext cx="3883142" cy="2190739"/>
                    </a:xfrm>
                    <a:prstGeom prst="rect">
                      <a:avLst/>
                    </a:prstGeom>
                    <a:noFill/>
                    <a:ln w="3175" cmpd="sng">
                      <a:solidFill>
                        <a:srgbClr val="000000"/>
                      </a:solidFill>
                      <a:miter lim="800000"/>
                      <a:headEnd/>
                      <a:tailEnd/>
                    </a:ln>
                    <a:effectLst/>
                  </pic:spPr>
                </pic:pic>
              </a:graphicData>
            </a:graphic>
          </wp:inline>
        </w:drawing>
      </w:r>
    </w:p>
    <w:p>
      <w:pPr>
        <w:pStyle w:val="43"/>
        <w:spacing w:line="420" w:lineRule="auto"/>
        <w:ind w:firstLine="0" w:firstLineChars="0"/>
        <w:jc w:val="center"/>
        <w:rPr>
          <w:b/>
          <w:szCs w:val="28"/>
        </w:rPr>
      </w:pPr>
      <w:r>
        <w:rPr>
          <w:b/>
          <w:szCs w:val="28"/>
          <w:bdr w:val="single" w:color="auto" w:sz="4" w:space="0"/>
        </w:rPr>
        <w:drawing>
          <wp:inline distT="0" distB="0" distL="0" distR="0">
            <wp:extent cx="3923030" cy="2210435"/>
            <wp:effectExtent l="19050" t="19050" r="20129" b="18334"/>
            <wp:docPr id="5" name="图片 5" descr="DJI_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JI_0018"/>
                    <pic:cNvPicPr>
                      <a:picLocks noChangeAspect="1" noChangeArrowheads="1"/>
                    </pic:cNvPicPr>
                  </pic:nvPicPr>
                  <pic:blipFill>
                    <a:blip r:embed="rId15" cstate="print"/>
                    <a:srcRect/>
                    <a:stretch>
                      <a:fillRect/>
                    </a:stretch>
                  </pic:blipFill>
                  <pic:spPr>
                    <a:xfrm>
                      <a:off x="0" y="0"/>
                      <a:ext cx="3923526" cy="2210688"/>
                    </a:xfrm>
                    <a:prstGeom prst="rect">
                      <a:avLst/>
                    </a:prstGeom>
                    <a:noFill/>
                    <a:ln w="3175" cmpd="sng">
                      <a:solidFill>
                        <a:srgbClr val="000000"/>
                      </a:solidFill>
                      <a:miter lim="800000"/>
                      <a:headEnd/>
                      <a:tailEnd/>
                    </a:ln>
                    <a:effectLst/>
                  </pic:spPr>
                </pic:pic>
              </a:graphicData>
            </a:graphic>
          </wp:inline>
        </w:drawing>
      </w:r>
    </w:p>
    <w:p>
      <w:pPr>
        <w:tabs>
          <w:tab w:val="left" w:pos="4860"/>
        </w:tabs>
        <w:snapToGrid w:val="0"/>
        <w:spacing w:line="420" w:lineRule="auto"/>
        <w:ind w:firstLine="2556" w:firstLineChars="950"/>
        <w:rPr>
          <w:rFonts w:ascii="Times New Roman" w:hAnsi="Times New Roman"/>
          <w:b/>
          <w:spacing w:val="-6"/>
          <w:sz w:val="28"/>
          <w:szCs w:val="28"/>
        </w:rPr>
      </w:pPr>
      <w:r>
        <w:rPr>
          <w:rFonts w:ascii="Times New Roman" w:hAnsi="Times New Roman"/>
          <w:b/>
          <w:spacing w:val="-6"/>
          <w:sz w:val="28"/>
          <w:szCs w:val="28"/>
        </w:rPr>
        <w:t>照片</w:t>
      </w:r>
      <w:r>
        <w:rPr>
          <w:rFonts w:hint="eastAsia" w:ascii="Times New Roman" w:hAnsi="Times New Roman"/>
          <w:b/>
          <w:spacing w:val="-6"/>
          <w:sz w:val="28"/>
          <w:szCs w:val="28"/>
        </w:rPr>
        <w:t>3</w:t>
      </w:r>
      <w:r>
        <w:rPr>
          <w:rFonts w:ascii="Times New Roman" w:hAnsi="Times New Roman"/>
          <w:b/>
          <w:spacing w:val="-6"/>
          <w:sz w:val="28"/>
          <w:szCs w:val="28"/>
        </w:rPr>
        <w:t>-1     矿区地形地貌（航拍）</w:t>
      </w:r>
    </w:p>
    <w:p>
      <w:pPr>
        <w:pStyle w:val="31"/>
        <w:spacing w:line="500" w:lineRule="exact"/>
      </w:pPr>
      <w:bookmarkStart w:id="155" w:name="_Toc517446405"/>
      <w:bookmarkStart w:id="156" w:name="_Toc31314"/>
      <w:bookmarkStart w:id="157" w:name="_Toc71036641"/>
      <w:bookmarkStart w:id="158" w:name="_Toc517445833"/>
      <w:bookmarkStart w:id="159" w:name="_Toc517446091"/>
      <w:bookmarkStart w:id="160" w:name="_Toc517445059"/>
      <w:r>
        <w:t>3.1.3矿区地质概况</w:t>
      </w:r>
      <w:bookmarkEnd w:id="155"/>
      <w:bookmarkEnd w:id="156"/>
      <w:bookmarkEnd w:id="157"/>
      <w:bookmarkEnd w:id="158"/>
      <w:bookmarkEnd w:id="159"/>
      <w:bookmarkEnd w:id="160"/>
    </w:p>
    <w:p>
      <w:pPr>
        <w:widowControl/>
        <w:ind w:firstLine="480" w:firstLineChars="200"/>
        <w:jc w:val="left"/>
        <w:rPr>
          <w:rFonts w:ascii="Times New Roman" w:hAnsi="Times New Roman"/>
        </w:rPr>
      </w:pPr>
      <w:r>
        <w:rPr>
          <w:rFonts w:ascii="Times New Roman" w:hAnsi="Times New Roman"/>
        </w:rPr>
        <w:t>1、地层</w:t>
      </w:r>
    </w:p>
    <w:p>
      <w:pPr>
        <w:widowControl/>
        <w:ind w:firstLine="480" w:firstLineChars="200"/>
        <w:jc w:val="left"/>
        <w:rPr>
          <w:rFonts w:ascii="Times New Roman" w:hAnsi="Times New Roman"/>
        </w:rPr>
      </w:pPr>
      <w:r>
        <w:rPr>
          <w:rFonts w:ascii="Times New Roman" w:hAnsi="Times New Roman"/>
        </w:rPr>
        <w:t>矿区内出露的地层主要有奥陶系下统亮家山组、中统下马家沟组和第四系上更新统。</w:t>
      </w:r>
    </w:p>
    <w:p>
      <w:pPr>
        <w:widowControl/>
        <w:ind w:firstLine="480" w:firstLineChars="200"/>
        <w:jc w:val="left"/>
        <w:rPr>
          <w:rFonts w:ascii="Times New Roman" w:hAnsi="Times New Roman"/>
        </w:rPr>
      </w:pPr>
      <w:r>
        <w:rPr>
          <w:rFonts w:ascii="Times New Roman" w:hAnsi="Times New Roman"/>
        </w:rPr>
        <w:t>①奥陶系下统亮家山组（O</w:t>
      </w:r>
      <w:r>
        <w:rPr>
          <w:rFonts w:ascii="Times New Roman" w:hAnsi="Times New Roman"/>
          <w:vertAlign w:val="subscript"/>
        </w:rPr>
        <w:t>1</w:t>
      </w:r>
      <w:r>
        <w:rPr>
          <w:rFonts w:ascii="Times New Roman" w:hAnsi="Times New Roman"/>
        </w:rPr>
        <w:t>l）</w:t>
      </w:r>
    </w:p>
    <w:p>
      <w:pPr>
        <w:widowControl/>
        <w:ind w:firstLine="480" w:firstLineChars="200"/>
        <w:jc w:val="left"/>
        <w:rPr>
          <w:rFonts w:ascii="Times New Roman" w:hAnsi="Times New Roman"/>
        </w:rPr>
      </w:pPr>
      <w:r>
        <w:rPr>
          <w:rFonts w:ascii="Times New Roman" w:hAnsi="Times New Roman"/>
        </w:rPr>
        <w:t>该组厚151m左右，分为上、下两段。下段厚68m，岩性为中厚层灰岩夹薄层石灰岩，局部含燧石结核，其中以底部灰岩质较纯，CaO含量较高。上段厚83m，岩性为一套灰白、灰黄色中厚、薄层石灰岩，局部地段夹有灰黄色厚层灰岩。矿区内未出露。</w:t>
      </w:r>
    </w:p>
    <w:p>
      <w:pPr>
        <w:widowControl/>
        <w:ind w:firstLine="480" w:firstLineChars="200"/>
        <w:jc w:val="left"/>
        <w:rPr>
          <w:rFonts w:ascii="Times New Roman" w:hAnsi="Times New Roman"/>
        </w:rPr>
      </w:pPr>
      <w:r>
        <w:rPr>
          <w:rFonts w:ascii="Times New Roman" w:hAnsi="Times New Roman"/>
        </w:rPr>
        <w:t>②奥陶系中统下马家沟组（O</w:t>
      </w:r>
      <w:r>
        <w:rPr>
          <w:rFonts w:ascii="Times New Roman" w:hAnsi="Times New Roman"/>
          <w:vertAlign w:val="subscript"/>
        </w:rPr>
        <w:t>2</w:t>
      </w:r>
      <w:r>
        <w:rPr>
          <w:rFonts w:ascii="Times New Roman" w:hAnsi="Times New Roman"/>
        </w:rPr>
        <w:t>x）</w:t>
      </w:r>
    </w:p>
    <w:p>
      <w:pPr>
        <w:widowControl/>
        <w:ind w:firstLine="480" w:firstLineChars="200"/>
        <w:jc w:val="left"/>
        <w:rPr>
          <w:rFonts w:ascii="Times New Roman" w:hAnsi="Times New Roman"/>
        </w:rPr>
      </w:pPr>
      <w:r>
        <w:rPr>
          <w:rFonts w:ascii="Times New Roman" w:hAnsi="Times New Roman"/>
        </w:rPr>
        <w:t>全组厚195m，由三段组成。一段：厚17m，岩性为灰色、灰黄色薄层泥灰岩夹黄绿色钙质页岩，底部通常为灰白色、浅黄色含砾石英砂岩。为本区矿体的直接底板。二段：厚103m，岩性为青灰色中厚层灰岩夹灰黄色角砾状、豹皮状灰岩。为本区矿体的赋存层位。三段：厚75m，岩性为灰色、灰黑色中薄层状灰岩，矿区内被剥蚀，未出露。</w:t>
      </w:r>
    </w:p>
    <w:p>
      <w:pPr>
        <w:widowControl/>
        <w:ind w:firstLine="480" w:firstLineChars="200"/>
        <w:jc w:val="left"/>
        <w:rPr>
          <w:rFonts w:ascii="Times New Roman" w:hAnsi="Times New Roman"/>
        </w:rPr>
      </w:pPr>
      <w:r>
        <w:rPr>
          <w:rFonts w:ascii="Times New Roman" w:hAnsi="Times New Roman"/>
        </w:rPr>
        <w:t>③新生界第四系上更新统（Q</w:t>
      </w:r>
      <w:r>
        <w:rPr>
          <w:rFonts w:ascii="Times New Roman" w:hAnsi="Times New Roman"/>
          <w:vertAlign w:val="subscript"/>
        </w:rPr>
        <w:t>3</w:t>
      </w:r>
      <w:r>
        <w:rPr>
          <w:rFonts w:ascii="Times New Roman" w:hAnsi="Times New Roman"/>
        </w:rPr>
        <w:t>）</w:t>
      </w:r>
    </w:p>
    <w:p>
      <w:pPr>
        <w:widowControl/>
        <w:ind w:firstLine="480" w:firstLineChars="200"/>
        <w:jc w:val="left"/>
        <w:rPr>
          <w:rFonts w:ascii="Times New Roman" w:hAnsi="Times New Roman"/>
        </w:rPr>
      </w:pPr>
      <w:r>
        <w:rPr>
          <w:rFonts w:ascii="Times New Roman" w:hAnsi="Times New Roman"/>
        </w:rPr>
        <w:t>分布于矿区西部，岩性主要为土黄色亚砂土、砂土，间夹钙质结核层，厚0-15m，覆盖在奥陶系基岩之上，与下伏地层呈角度不整合接触。</w:t>
      </w:r>
    </w:p>
    <w:p>
      <w:pPr>
        <w:pStyle w:val="2"/>
        <w:rPr>
          <w:rFonts w:ascii="Times New Roman" w:hAnsi="Times New Roman" w:cs="Times New Roman"/>
        </w:rPr>
      </w:pPr>
      <w:r>
        <w:rPr>
          <w:rFonts w:ascii="Times New Roman" w:hAnsi="Times New Roman" w:cs="Times New Roman"/>
        </w:rPr>
        <w:t>2、构造</w:t>
      </w:r>
    </w:p>
    <w:p>
      <w:pPr>
        <w:pStyle w:val="2"/>
        <w:rPr>
          <w:rFonts w:ascii="Times New Roman" w:hAnsi="Times New Roman" w:cs="Times New Roman"/>
        </w:rPr>
      </w:pPr>
      <w:r>
        <w:rPr>
          <w:rFonts w:ascii="Times New Roman" w:hAnsi="Times New Roman" w:cs="Times New Roman"/>
          <w:szCs w:val="28"/>
        </w:rPr>
        <w:t>矿区大地构造位置位于</w:t>
      </w:r>
      <w:r>
        <w:rPr>
          <w:rFonts w:ascii="Times New Roman" w:hAnsi="Times New Roman" w:cs="Times New Roman"/>
        </w:rPr>
        <w:t>山西台背斜的北东部，五台山块隆中段</w:t>
      </w:r>
      <w:r>
        <w:rPr>
          <w:rFonts w:ascii="Times New Roman" w:hAnsi="Times New Roman" w:cs="Times New Roman"/>
          <w:szCs w:val="28"/>
        </w:rPr>
        <w:t>。</w:t>
      </w:r>
      <w:r>
        <w:rPr>
          <w:rFonts w:ascii="Times New Roman" w:hAnsi="Times New Roman" w:cs="Times New Roman"/>
        </w:rPr>
        <w:t>矿区内构造较为简单，总体为一单斜构造，地层产状倾向302°，倾角15°左右。矿区内未见有断裂构造</w:t>
      </w:r>
      <w:r>
        <w:rPr>
          <w:rFonts w:ascii="Times New Roman" w:hAnsi="Times New Roman" w:cs="Times New Roman"/>
          <w:szCs w:val="28"/>
        </w:rPr>
        <w:t>。</w:t>
      </w:r>
    </w:p>
    <w:p>
      <w:pPr>
        <w:pStyle w:val="2"/>
        <w:rPr>
          <w:rFonts w:ascii="Times New Roman" w:hAnsi="Times New Roman" w:cs="Times New Roman"/>
        </w:rPr>
      </w:pPr>
      <w:r>
        <w:rPr>
          <w:rFonts w:ascii="Times New Roman" w:hAnsi="Times New Roman" w:cs="Times New Roman"/>
        </w:rPr>
        <w:t>3、岩浆岩</w:t>
      </w:r>
    </w:p>
    <w:p>
      <w:pPr>
        <w:pStyle w:val="2"/>
        <w:rPr>
          <w:rFonts w:ascii="Times New Roman" w:hAnsi="Times New Roman" w:cs="Times New Roman"/>
          <w:szCs w:val="28"/>
        </w:rPr>
      </w:pPr>
      <w:r>
        <w:rPr>
          <w:rFonts w:ascii="Times New Roman" w:hAnsi="Times New Roman" w:cs="Times New Roman"/>
          <w:szCs w:val="28"/>
        </w:rPr>
        <w:t>矿区内</w:t>
      </w:r>
      <w:r>
        <w:rPr>
          <w:rFonts w:ascii="Times New Roman" w:hAnsi="Times New Roman" w:cs="Times New Roman"/>
        </w:rPr>
        <w:t>未见岩浆岩出露</w:t>
      </w:r>
      <w:r>
        <w:rPr>
          <w:rFonts w:ascii="Times New Roman" w:hAnsi="Times New Roman" w:cs="Times New Roman"/>
          <w:szCs w:val="28"/>
        </w:rPr>
        <w:t>。</w:t>
      </w:r>
    </w:p>
    <w:p>
      <w:pPr>
        <w:pStyle w:val="2"/>
        <w:rPr>
          <w:rFonts w:ascii="Times New Roman" w:hAnsi="Times New Roman" w:cs="Times New Roman"/>
          <w:szCs w:val="28"/>
        </w:rPr>
      </w:pPr>
      <w:r>
        <w:rPr>
          <w:rFonts w:ascii="Times New Roman" w:hAnsi="Times New Roman" w:cs="Times New Roman"/>
          <w:szCs w:val="28"/>
        </w:rPr>
        <w:t>4、矿体特征</w:t>
      </w:r>
    </w:p>
    <w:p>
      <w:pPr>
        <w:pStyle w:val="2"/>
        <w:rPr>
          <w:rFonts w:ascii="Times New Roman" w:hAnsi="Times New Roman" w:cs="Times New Roman"/>
        </w:rPr>
      </w:pPr>
      <w:r>
        <w:rPr>
          <w:rFonts w:ascii="Times New Roman" w:hAnsi="Times New Roman" w:cs="Times New Roman"/>
        </w:rPr>
        <w:t>矿体赋存于奥陶系中统下马家沟组二段中厚层灰岩中，矿体呈层状产出，矿体产状与围岩产状一致，倾向302°，倾角15°左右。矿体厚20－50m，矿体出露长170m，矿体控制长100m，矿体估算标高为1100-1075m。</w:t>
      </w:r>
    </w:p>
    <w:p>
      <w:pPr>
        <w:pStyle w:val="31"/>
      </w:pPr>
      <w:bookmarkStart w:id="161" w:name="_Toc71036642"/>
      <w:bookmarkStart w:id="162" w:name="_Toc7611"/>
      <w:r>
        <w:t>3.1.5 气象、水文</w:t>
      </w:r>
      <w:bookmarkEnd w:id="161"/>
      <w:bookmarkEnd w:id="162"/>
    </w:p>
    <w:p>
      <w:pPr>
        <w:widowControl/>
        <w:ind w:firstLine="480" w:firstLineChars="200"/>
        <w:jc w:val="left"/>
        <w:rPr>
          <w:rFonts w:ascii="Times New Roman" w:hAnsi="Times New Roman"/>
          <w:szCs w:val="28"/>
        </w:rPr>
      </w:pPr>
      <w:r>
        <w:rPr>
          <w:rFonts w:ascii="Times New Roman" w:hAnsi="Times New Roman"/>
          <w:szCs w:val="28"/>
        </w:rPr>
        <w:t>据五台县气象站1958—2020年的资料，矿山所处地区属温带大陆性季风气候，四季分明，春季干旱多风，夏秋季温和多雨，冬季寒冷干燥，昼夜温差较大。年平均气温6～8</w:t>
      </w:r>
      <w:r>
        <w:rPr>
          <w:rFonts w:ascii="宋体" w:hAnsi="Times New Roman"/>
          <w:szCs w:val="28"/>
        </w:rPr>
        <w:t>℃</w:t>
      </w:r>
      <w:r>
        <w:rPr>
          <w:rFonts w:ascii="Times New Roman" w:hAnsi="Times New Roman"/>
          <w:szCs w:val="28"/>
        </w:rPr>
        <w:t>，七月份最热，一般为19～21</w:t>
      </w:r>
      <w:r>
        <w:rPr>
          <w:rFonts w:ascii="宋体" w:hAnsi="Times New Roman"/>
          <w:szCs w:val="28"/>
        </w:rPr>
        <w:t>℃</w:t>
      </w:r>
      <w:r>
        <w:rPr>
          <w:rFonts w:ascii="Times New Roman" w:hAnsi="Times New Roman"/>
          <w:szCs w:val="28"/>
        </w:rPr>
        <w:t>，极端最高气温为37.5</w:t>
      </w:r>
      <w:r>
        <w:rPr>
          <w:rFonts w:ascii="宋体" w:hAnsi="Times New Roman"/>
          <w:szCs w:val="28"/>
        </w:rPr>
        <w:t>℃</w:t>
      </w:r>
      <w:r>
        <w:rPr>
          <w:rFonts w:ascii="Times New Roman" w:hAnsi="Times New Roman"/>
          <w:szCs w:val="28"/>
        </w:rPr>
        <w:t>，一月份最冷，一般在-10</w:t>
      </w:r>
      <w:r>
        <w:rPr>
          <w:rFonts w:ascii="宋体" w:hAnsi="Times New Roman"/>
          <w:szCs w:val="28"/>
        </w:rPr>
        <w:t>℃</w:t>
      </w:r>
      <w:r>
        <w:rPr>
          <w:rFonts w:ascii="Times New Roman" w:hAnsi="Times New Roman"/>
          <w:szCs w:val="28"/>
        </w:rPr>
        <w:t>左右，极端最低气温达-30</w:t>
      </w:r>
      <w:r>
        <w:rPr>
          <w:rFonts w:ascii="宋体" w:hAnsi="Times New Roman"/>
          <w:szCs w:val="28"/>
        </w:rPr>
        <w:t>℃</w:t>
      </w:r>
      <w:r>
        <w:rPr>
          <w:rFonts w:ascii="Times New Roman" w:hAnsi="Times New Roman"/>
          <w:szCs w:val="28"/>
        </w:rPr>
        <w:t>。降水量受地形影响变化大，山区迎风坡大，盆地河谷区小。雨季集中在7～9月份，年平均降水量514.3mm，最小年降水量310.9mm，最多年降水量767.4mm；24小时最大降水量108.1mm，出现日期为2003年8月24日；1小时最大降水量84.5mm，出现在2003年8月24日13时05分至14时05分；10分钟最大降水量19.4mm，出现在2003年8月24日14时41分至14时51分。本区最大蒸发量为2346.4mm(1998年)，多年平均蒸发量1878mm，无霜期150～170天，霜冻期为十月上旬到次年三月下旬，冻土深度为1.3～1.5m。本区3、4、6月多风，风向多为西南风，最大风速16m/s。</w:t>
      </w:r>
    </w:p>
    <w:p>
      <w:pPr>
        <w:pStyle w:val="2"/>
        <w:rPr>
          <w:rFonts w:ascii="Times New Roman" w:hAnsi="Times New Roman" w:cs="Times New Roman"/>
        </w:rPr>
      </w:pPr>
      <w:r>
        <w:rPr>
          <w:rFonts w:ascii="Times New Roman" w:hAnsi="Times New Roman" w:cs="Times New Roman"/>
        </w:rPr>
        <w:t>矿区河流属海河流域滹沱河水系清水河支流淲阳河小支沟。矿区内无常年流水性河流，区内沟谷较发育，只有雨季有短暂地表径流，平时干涸无水。矿区内地势总体为东高西低，地形起伏较明显，汛期地表径流快，不易积水，大气降水顺沟谷最后汇入矿区西部的淲阳河，矿区西部距淲阳河最近约100m。区内位置最低侵蚀基准面标高为950m（淲阳河河床）。见图</w:t>
      </w:r>
      <w:r>
        <w:rPr>
          <w:rFonts w:hint="eastAsia" w:ascii="Times New Roman" w:hAnsi="Times New Roman" w:cs="Times New Roman"/>
        </w:rPr>
        <w:t>3</w:t>
      </w:r>
      <w:r>
        <w:rPr>
          <w:rFonts w:ascii="Times New Roman" w:hAnsi="Times New Roman" w:cs="Times New Roman"/>
        </w:rPr>
        <w:t>-2矿区水系图。</w:t>
      </w:r>
    </w:p>
    <w:p>
      <w:pPr>
        <w:pStyle w:val="2"/>
        <w:rPr>
          <w:rFonts w:ascii="Times New Roman" w:hAnsi="Times New Roman" w:cs="Times New Roman"/>
        </w:rPr>
      </w:pPr>
      <w:r>
        <w:rPr>
          <w:rFonts w:ascii="Times New Roman" w:hAnsi="Times New Roman" w:cs="Times New Roman"/>
        </w:rPr>
        <w:t>矿区西部沟谷一为“U”型沟谷，为淲阳河，淲阳河全长约20km，年总径流量5627万m</w:t>
      </w:r>
      <w:r>
        <w:rPr>
          <w:rFonts w:ascii="Times New Roman" w:hAnsi="Times New Roman" w:cs="Times New Roman"/>
          <w:vertAlign w:val="superscript"/>
        </w:rPr>
        <w:t>3</w:t>
      </w:r>
      <w:r>
        <w:rPr>
          <w:rFonts w:ascii="Times New Roman" w:hAnsi="Times New Roman" w:cs="Times New Roman"/>
        </w:rPr>
        <w:t>，汛期多在第三季度。两侧山坡坡度约5°-50°，沟谷纵坡降约6~18%，沟域面积约80km</w:t>
      </w:r>
      <w:r>
        <w:rPr>
          <w:rFonts w:ascii="Times New Roman" w:hAnsi="Times New Roman" w:cs="Times New Roman"/>
          <w:vertAlign w:val="superscript"/>
        </w:rPr>
        <w:t>2</w:t>
      </w:r>
      <w:r>
        <w:rPr>
          <w:rFonts w:ascii="Times New Roman" w:hAnsi="Times New Roman" w:cs="Times New Roman"/>
        </w:rPr>
        <w:t>，据调查淲阳河历史最高洪水位为953.4m，矿区距该沟谷最近直距约100m。北部沟谷二为“V”型沟谷，沟谷长约435m，两侧山坡坡度约5°-25°，沟谷纵坡降约3~12%，沟域面积约9200m</w:t>
      </w:r>
      <w:r>
        <w:rPr>
          <w:rFonts w:ascii="Times New Roman" w:hAnsi="Times New Roman" w:cs="Times New Roman"/>
          <w:vertAlign w:val="superscript"/>
        </w:rPr>
        <w:t>2</w:t>
      </w:r>
      <w:r>
        <w:rPr>
          <w:rFonts w:ascii="Times New Roman" w:hAnsi="Times New Roman" w:cs="Times New Roman"/>
        </w:rPr>
        <w:t>。矿区内地表径流条件好，无常年自然水体存在，仅在强降雨后形成短暂流水。</w:t>
      </w:r>
    </w:p>
    <w:p>
      <w:pPr>
        <w:pStyle w:val="28"/>
        <w:rPr>
          <w:rFonts w:ascii="Times New Roman" w:hAnsi="Times New Roman" w:cs="Times New Roman"/>
        </w:rPr>
      </w:pPr>
    </w:p>
    <w:p>
      <w:pPr>
        <w:pStyle w:val="28"/>
        <w:rPr>
          <w:rFonts w:ascii="Times New Roman" w:hAnsi="Times New Roman" w:cs="Times New Roman"/>
        </w:rPr>
        <w:sectPr>
          <w:footerReference r:id="rId11" w:type="first"/>
          <w:headerReference r:id="rId9" w:type="even"/>
          <w:footerReference r:id="rId10" w:type="even"/>
          <w:pgSz w:w="11906" w:h="16838"/>
          <w:pgMar w:top="1440" w:right="1800" w:bottom="1440" w:left="1800" w:header="851" w:footer="850" w:gutter="0"/>
          <w:cols w:space="425" w:num="1"/>
          <w:docGrid w:type="lines" w:linePitch="312" w:charSpace="0"/>
        </w:sectPr>
      </w:pPr>
    </w:p>
    <w:p>
      <w:pPr>
        <w:pStyle w:val="28"/>
        <w:rPr>
          <w:rFonts w:ascii="Times New Roman" w:hAnsi="Times New Roman" w:cs="Times New Roman"/>
        </w:rPr>
      </w:pPr>
      <w:r>
        <w:rPr>
          <w:rFonts w:hint="eastAsia" w:ascii="Times New Roman" w:hAnsi="Times New Roman" w:cs="Times New Roman"/>
        </w:rPr>
        <w:drawing>
          <wp:anchor distT="0" distB="0" distL="114300" distR="114300" simplePos="0" relativeHeight="251670528" behindDoc="0" locked="0" layoutInCell="1" allowOverlap="1">
            <wp:simplePos x="0" y="0"/>
            <wp:positionH relativeFrom="column">
              <wp:posOffset>1881505</wp:posOffset>
            </wp:positionH>
            <wp:positionV relativeFrom="paragraph">
              <wp:posOffset>-284480</wp:posOffset>
            </wp:positionV>
            <wp:extent cx="5219065" cy="5072380"/>
            <wp:effectExtent l="19050" t="0" r="706" b="0"/>
            <wp:wrapNone/>
            <wp:docPr id="8" name="图片 14" descr="五台水系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4" descr="五台水系图"/>
                    <pic:cNvPicPr>
                      <a:picLocks noChangeAspect="1" noChangeArrowheads="1"/>
                    </pic:cNvPicPr>
                  </pic:nvPicPr>
                  <pic:blipFill>
                    <a:blip r:embed="rId16" cstate="print"/>
                    <a:srcRect/>
                    <a:stretch>
                      <a:fillRect/>
                    </a:stretch>
                  </pic:blipFill>
                  <pic:spPr>
                    <a:xfrm>
                      <a:off x="0" y="0"/>
                      <a:ext cx="5218994" cy="5072512"/>
                    </a:xfrm>
                    <a:prstGeom prst="rect">
                      <a:avLst/>
                    </a:prstGeom>
                    <a:noFill/>
                    <a:ln w="9525">
                      <a:noFill/>
                      <a:miter lim="800000"/>
                      <a:headEnd/>
                      <a:tailEnd/>
                    </a:ln>
                  </pic:spPr>
                </pic:pic>
              </a:graphicData>
            </a:graphic>
          </wp:anchor>
        </w:drawing>
      </w:r>
    </w:p>
    <w:p>
      <w:pPr>
        <w:pStyle w:val="28"/>
        <w:rPr>
          <w:rFonts w:ascii="Times New Roman" w:hAnsi="Times New Roman" w:cs="Times New Roman"/>
        </w:rPr>
      </w:pPr>
    </w:p>
    <w:p>
      <w:pPr>
        <w:pStyle w:val="28"/>
        <w:rPr>
          <w:rFonts w:ascii="Times New Roman" w:hAnsi="Times New Roman" w:cs="Times New Roman"/>
        </w:rPr>
      </w:pPr>
    </w:p>
    <w:p>
      <w:pPr>
        <w:pStyle w:val="28"/>
        <w:rPr>
          <w:rFonts w:ascii="Times New Roman" w:hAnsi="Times New Roman" w:cs="Times New Roman"/>
        </w:rPr>
      </w:pPr>
    </w:p>
    <w:p>
      <w:pPr>
        <w:pStyle w:val="28"/>
        <w:rPr>
          <w:rFonts w:ascii="Times New Roman" w:hAnsi="Times New Roman" w:cs="Times New Roman"/>
        </w:rPr>
      </w:pPr>
    </w:p>
    <w:p>
      <w:pPr>
        <w:pStyle w:val="28"/>
        <w:rPr>
          <w:rFonts w:ascii="Times New Roman" w:hAnsi="Times New Roman" w:cs="Times New Roman"/>
        </w:rPr>
      </w:pPr>
    </w:p>
    <w:p>
      <w:pPr>
        <w:pStyle w:val="28"/>
        <w:rPr>
          <w:rFonts w:ascii="Times New Roman" w:hAnsi="Times New Roman" w:cs="Times New Roman"/>
        </w:rPr>
      </w:pPr>
    </w:p>
    <w:p>
      <w:pPr>
        <w:pStyle w:val="28"/>
        <w:rPr>
          <w:rFonts w:ascii="Times New Roman" w:hAnsi="Times New Roman" w:cs="Times New Roman"/>
        </w:rPr>
      </w:pPr>
    </w:p>
    <w:p>
      <w:pPr>
        <w:pStyle w:val="28"/>
        <w:rPr>
          <w:rFonts w:ascii="Times New Roman" w:hAnsi="Times New Roman" w:cs="Times New Roman"/>
        </w:rPr>
      </w:pPr>
    </w:p>
    <w:p>
      <w:pPr>
        <w:pStyle w:val="28"/>
        <w:rPr>
          <w:rFonts w:ascii="Times New Roman" w:hAnsi="Times New Roman" w:cs="Times New Roman"/>
        </w:rPr>
      </w:pPr>
    </w:p>
    <w:p>
      <w:pPr>
        <w:pStyle w:val="28"/>
        <w:rPr>
          <w:rFonts w:ascii="Times New Roman" w:hAnsi="Times New Roman" w:cs="Times New Roman"/>
        </w:rPr>
      </w:pPr>
    </w:p>
    <w:p>
      <w:pPr>
        <w:pStyle w:val="28"/>
        <w:rPr>
          <w:rFonts w:ascii="Times New Roman" w:hAnsi="Times New Roman" w:cs="Times New Roman"/>
        </w:rPr>
      </w:pPr>
    </w:p>
    <w:p>
      <w:pPr>
        <w:pStyle w:val="28"/>
        <w:rPr>
          <w:rFonts w:ascii="Times New Roman" w:hAnsi="Times New Roman" w:cs="Times New Roman"/>
        </w:rPr>
      </w:pPr>
    </w:p>
    <w:p>
      <w:pPr>
        <w:pStyle w:val="28"/>
        <w:rPr>
          <w:rFonts w:ascii="Times New Roman" w:hAnsi="Times New Roman" w:cs="Times New Roman"/>
        </w:rPr>
      </w:pPr>
    </w:p>
    <w:p>
      <w:pPr>
        <w:pStyle w:val="28"/>
        <w:rPr>
          <w:rFonts w:ascii="Times New Roman" w:hAnsi="Times New Roman" w:cs="Times New Roman"/>
        </w:rPr>
      </w:pPr>
    </w:p>
    <w:p>
      <w:pPr>
        <w:pStyle w:val="28"/>
        <w:jc w:val="center"/>
        <w:rPr>
          <w:rFonts w:ascii="Times New Roman" w:hAnsi="Times New Roman" w:cs="Times New Roman"/>
        </w:rPr>
      </w:pPr>
      <w:r>
        <w:rPr>
          <w:rFonts w:ascii="Times New Roman" w:hAnsi="Times New Roman" w:cs="Times New Roman"/>
          <w:b/>
        </w:rPr>
        <w:t>图</w:t>
      </w:r>
      <w:r>
        <w:rPr>
          <w:rFonts w:hint="eastAsia" w:ascii="Times New Roman" w:hAnsi="Times New Roman" w:cs="Times New Roman"/>
          <w:b/>
        </w:rPr>
        <w:t>3</w:t>
      </w:r>
      <w:r>
        <w:rPr>
          <w:rFonts w:ascii="Times New Roman" w:hAnsi="Times New Roman" w:cs="Times New Roman"/>
          <w:b/>
        </w:rPr>
        <w:t>-2     矿区水系图</w:t>
      </w:r>
    </w:p>
    <w:p>
      <w:pPr>
        <w:pStyle w:val="28"/>
        <w:rPr>
          <w:rFonts w:ascii="Times New Roman" w:hAnsi="Times New Roman" w:cs="Times New Roman"/>
        </w:rPr>
        <w:sectPr>
          <w:pgSz w:w="16838" w:h="11906" w:orient="landscape"/>
          <w:pgMar w:top="1800" w:right="1440" w:bottom="1800" w:left="1440" w:header="851" w:footer="850" w:gutter="0"/>
          <w:cols w:space="425" w:num="1"/>
          <w:docGrid w:type="lines" w:linePitch="326" w:charSpace="0"/>
        </w:sectPr>
      </w:pPr>
    </w:p>
    <w:p>
      <w:pPr>
        <w:pStyle w:val="31"/>
      </w:pPr>
      <w:bookmarkStart w:id="163" w:name="_Toc71036643"/>
      <w:r>
        <w:t>3.1.6 地表水</w:t>
      </w:r>
      <w:bookmarkEnd w:id="163"/>
    </w:p>
    <w:p>
      <w:pPr>
        <w:pStyle w:val="28"/>
        <w:ind w:firstLine="480" w:firstLineChars="200"/>
        <w:rPr>
          <w:rFonts w:ascii="Times New Roman" w:hAnsi="Times New Roman" w:cs="Times New Roman"/>
        </w:rPr>
      </w:pPr>
      <w:r>
        <w:rPr>
          <w:rFonts w:ascii="Times New Roman" w:hAnsi="Times New Roman" w:cs="Times New Roman"/>
        </w:rPr>
        <w:t>矿区河流属海河流域滹沱河水系清水河支流淲阳河小支沟。矿区内无常年流水性河流，区内沟谷较发育，只有雨季有短暂地表径流，平时干涸无水。矿区内地势总体为东高西低，地形起伏较明显，汛期地表径流快，不易积水，大气降水顺沟谷最后汇入矿区西部的淲阳河，矿区西部距淲阳河最近约100m。区内位置最低侵蚀基准面标高为948m（淲阳河河床）。</w:t>
      </w:r>
    </w:p>
    <w:p>
      <w:pPr>
        <w:pStyle w:val="28"/>
        <w:ind w:firstLine="480" w:firstLineChars="200"/>
        <w:rPr>
          <w:rFonts w:ascii="Times New Roman" w:hAnsi="Times New Roman" w:cs="Times New Roman"/>
        </w:rPr>
      </w:pPr>
      <w:r>
        <w:rPr>
          <w:rFonts w:ascii="Times New Roman" w:hAnsi="Times New Roman" w:cs="Times New Roman"/>
        </w:rPr>
        <w:t>矿区西部沟谷一为“U”型沟谷，为淲阳河，淲阳河全长约20km，年总径流量5627万m</w:t>
      </w:r>
      <w:r>
        <w:rPr>
          <w:rFonts w:ascii="Times New Roman" w:hAnsi="Times New Roman" w:cs="Times New Roman"/>
          <w:vertAlign w:val="superscript"/>
        </w:rPr>
        <w:t>3</w:t>
      </w:r>
      <w:r>
        <w:rPr>
          <w:rFonts w:ascii="Times New Roman" w:hAnsi="Times New Roman" w:cs="Times New Roman"/>
        </w:rPr>
        <w:t>，汛期多在第三季度。两侧山坡坡度约5°-50°，沟谷纵坡降约6~18%，沟域面积约80km</w:t>
      </w:r>
      <w:r>
        <w:rPr>
          <w:rFonts w:ascii="Times New Roman" w:hAnsi="Times New Roman" w:cs="Times New Roman"/>
          <w:vertAlign w:val="superscript"/>
        </w:rPr>
        <w:t>2</w:t>
      </w:r>
      <w:r>
        <w:rPr>
          <w:rFonts w:ascii="Times New Roman" w:hAnsi="Times New Roman" w:cs="Times New Roman"/>
        </w:rPr>
        <w:t>，矿区距该沟谷最近直距约100m。北部沟谷二为“V”型沟谷，沟谷长约435m，两侧山坡坡度约5°-25°，沟谷纵坡降约3~12%，沟域面积约9200m</w:t>
      </w:r>
      <w:r>
        <w:rPr>
          <w:rFonts w:ascii="Times New Roman" w:hAnsi="Times New Roman" w:cs="Times New Roman"/>
          <w:vertAlign w:val="superscript"/>
        </w:rPr>
        <w:t>2</w:t>
      </w:r>
      <w:r>
        <w:rPr>
          <w:rFonts w:ascii="Times New Roman" w:hAnsi="Times New Roman" w:cs="Times New Roman"/>
        </w:rPr>
        <w:t>。矿区内地表径流条件好，无常年自然水体存在，仅在强降雨后形成短暂流水。</w:t>
      </w:r>
    </w:p>
    <w:p>
      <w:pPr>
        <w:pStyle w:val="31"/>
      </w:pPr>
      <w:bookmarkStart w:id="164" w:name="_Toc71036644"/>
      <w:r>
        <w:t>3.1.7 土壤植被</w:t>
      </w:r>
      <w:bookmarkEnd w:id="164"/>
    </w:p>
    <w:p>
      <w:pPr>
        <w:pStyle w:val="28"/>
        <w:ind w:firstLine="480" w:firstLineChars="200"/>
        <w:rPr>
          <w:rFonts w:ascii="Times New Roman" w:hAnsi="Times New Roman" w:cs="Times New Roman"/>
        </w:rPr>
      </w:pPr>
      <w:r>
        <w:rPr>
          <w:rFonts w:ascii="Times New Roman" w:hAnsi="Times New Roman" w:cs="Times New Roman"/>
        </w:rPr>
        <w:t>根据山西主要土壤类型有关资料，矿区土壤类型以褐土为主，沿沟谷分布，土层厚度随着地势增高而变薄。土壤基本理化性质为，pH值6.3，有机质含量15.2g/kg，碱解氮含量90m g/kg，有效磷含量16mg/kg，速效钾110mg/kg，有效锌2.5mg/kg，土质较疏松，多呈粒状结构。成土母质为坡积物，呈半风化状态。褐土的表土呈褐色至棕黄色，剖面中、下部有粘粒和钙的积聚，呈中性（表层）至微碱性（心底土层）。土壤剖面构型为有机质积聚层-粘化层-钙积层-母质层。母质各种各样，有各种岩石的风化物，但仍以黄土状物质为主。</w:t>
      </w:r>
    </w:p>
    <w:p>
      <w:pPr>
        <w:pStyle w:val="28"/>
        <w:ind w:firstLine="480" w:firstLineChars="200"/>
        <w:rPr>
          <w:rFonts w:ascii="Times New Roman" w:hAnsi="Times New Roman" w:cs="Times New Roman"/>
        </w:rPr>
      </w:pPr>
      <w:r>
        <w:rPr>
          <w:rFonts w:ascii="Times New Roman" w:hAnsi="Times New Roman" w:cs="Times New Roman"/>
        </w:rPr>
        <w:t>植被以野生种类为主，主要为乔木、灌木及草本类等，植被覆盖率约30%。</w:t>
      </w:r>
    </w:p>
    <w:p>
      <w:pPr>
        <w:pStyle w:val="31"/>
      </w:pPr>
      <w:bookmarkStart w:id="165" w:name="_Toc71036645"/>
      <w:r>
        <w:t>3.1.8 矿区周围敏感因素</w:t>
      </w:r>
      <w:bookmarkEnd w:id="165"/>
    </w:p>
    <w:p>
      <w:pPr>
        <w:pStyle w:val="28"/>
        <w:ind w:firstLine="480" w:firstLineChars="200"/>
        <w:rPr>
          <w:rFonts w:ascii="Times New Roman" w:hAnsi="Times New Roman" w:cs="Times New Roman"/>
        </w:rPr>
      </w:pPr>
      <w:r>
        <w:rPr>
          <w:rFonts w:ascii="Times New Roman" w:hAnsi="Times New Roman" w:cs="Times New Roman"/>
          <w:color w:val="auto"/>
        </w:rPr>
        <w:t>按照国家环境保护总局制定的《建设项目环境保护分类管理名录》中关于环境敏感因素的界定原则</w:t>
      </w:r>
      <w:r>
        <w:rPr>
          <w:rFonts w:hint="eastAsia" w:ascii="Times New Roman" w:hAnsi="Times New Roman" w:cs="Times New Roman"/>
          <w:color w:val="auto"/>
        </w:rPr>
        <w:t>，</w:t>
      </w:r>
      <w:r>
        <w:rPr>
          <w:rFonts w:ascii="Times New Roman" w:hAnsi="Times New Roman"/>
          <w:color w:val="auto"/>
        </w:rPr>
        <w:t>本次评价通过现场踏勘与调查，并收集了该区域相关的资料，对项目所在区域的生态功能环境进行了调查与分析。</w:t>
      </w:r>
      <w:r>
        <w:rPr>
          <w:rFonts w:ascii="Times New Roman" w:hAnsi="Times New Roman" w:cs="Times New Roman"/>
        </w:rPr>
        <w:t>本项目位于高洪口乡河口村北约2km处</w:t>
      </w:r>
      <w:r>
        <w:rPr>
          <w:rFonts w:hint="eastAsia" w:ascii="Times New Roman" w:hAnsi="Times New Roman" w:cs="Times New Roman"/>
        </w:rPr>
        <w:t>，</w:t>
      </w:r>
      <w:r>
        <w:rPr>
          <w:rFonts w:ascii="Times New Roman" w:hAnsi="Times New Roman" w:cs="Times New Roman"/>
        </w:rPr>
        <w:t>项目区周边无自然保护区、风景名胜区，无森林公园、重点文物及名胜古迹，无生态敏感与珍稀野生动植物栖息地等环境敏感目标。项目不在饮</w:t>
      </w:r>
      <w:r>
        <w:rPr>
          <w:rFonts w:hint="eastAsia" w:ascii="Times New Roman" w:hAnsi="Times New Roman" w:cs="Times New Roman"/>
        </w:rPr>
        <w:t>用水水源保护区范围内，项目区域主要环境保护目标为周边村庄、居住区，以及区域地下水环境。</w:t>
      </w:r>
    </w:p>
    <w:p>
      <w:pPr>
        <w:pStyle w:val="31"/>
      </w:pPr>
      <w:bookmarkStart w:id="166" w:name="_Toc71036646"/>
      <w:r>
        <w:t>3.1.</w:t>
      </w:r>
      <w:r>
        <w:rPr>
          <w:rFonts w:hint="eastAsia"/>
        </w:rPr>
        <w:t>9</w:t>
      </w:r>
      <w:r>
        <w:t>矿区环境质量现状</w:t>
      </w:r>
      <w:bookmarkEnd w:id="166"/>
    </w:p>
    <w:p>
      <w:pPr>
        <w:pStyle w:val="28"/>
        <w:ind w:firstLine="480" w:firstLineChars="200"/>
        <w:rPr>
          <w:rFonts w:ascii="Times New Roman" w:hAnsi="Times New Roman" w:cs="Times New Roman"/>
        </w:rPr>
      </w:pPr>
      <w:r>
        <w:rPr>
          <w:rFonts w:ascii="Times New Roman" w:hAnsi="Times New Roman" w:cs="Times New Roman"/>
        </w:rPr>
        <w:t>根据忻州市生态环境局五台分局提供的20</w:t>
      </w:r>
      <w:r>
        <w:rPr>
          <w:rFonts w:hint="eastAsia" w:ascii="Times New Roman" w:hAnsi="Times New Roman" w:cs="Times New Roman"/>
        </w:rPr>
        <w:t>20</w:t>
      </w:r>
      <w:r>
        <w:rPr>
          <w:rFonts w:ascii="Times New Roman" w:hAnsi="Times New Roman" w:cs="Times New Roman"/>
        </w:rPr>
        <w:t>年五台县空气质量年报，五台县20</w:t>
      </w:r>
      <w:r>
        <w:rPr>
          <w:rFonts w:hint="eastAsia" w:ascii="Times New Roman" w:hAnsi="Times New Roman" w:cs="Times New Roman"/>
        </w:rPr>
        <w:t>20</w:t>
      </w:r>
      <w:r>
        <w:rPr>
          <w:rFonts w:ascii="Times New Roman" w:hAnsi="Times New Roman" w:cs="Times New Roman"/>
        </w:rPr>
        <w:t>年环境空气质量情况见下表。</w:t>
      </w:r>
    </w:p>
    <w:p>
      <w:pPr>
        <w:pStyle w:val="28"/>
        <w:ind w:firstLine="480" w:firstLineChars="200"/>
        <w:jc w:val="center"/>
        <w:rPr>
          <w:rFonts w:ascii="Times New Roman" w:hAnsi="Times New Roman" w:cs="Times New Roman"/>
        </w:rPr>
      </w:pPr>
      <w:r>
        <w:rPr>
          <w:rFonts w:ascii="Times New Roman" w:hAnsi="Times New Roman" w:cs="Times New Roman"/>
        </w:rPr>
        <w:t>五台县20</w:t>
      </w:r>
      <w:r>
        <w:rPr>
          <w:rFonts w:hint="eastAsia" w:ascii="Times New Roman" w:hAnsi="Times New Roman" w:cs="Times New Roman"/>
        </w:rPr>
        <w:t>20</w:t>
      </w:r>
      <w:r>
        <w:rPr>
          <w:rFonts w:ascii="Times New Roman" w:hAnsi="Times New Roman" w:cs="Times New Roman"/>
        </w:rPr>
        <w:t>年环境空气质量情况   单位：mg/L</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9"/>
        <w:gridCol w:w="1079"/>
        <w:gridCol w:w="1203"/>
        <w:gridCol w:w="1135"/>
        <w:gridCol w:w="992"/>
        <w:gridCol w:w="1425"/>
        <w:gridCol w:w="15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pct"/>
          </w:tcPr>
          <w:p>
            <w:pPr>
              <w:pStyle w:val="48"/>
              <w:rPr>
                <w:rFonts w:ascii="Times New Roman"/>
                <w:szCs w:val="21"/>
              </w:rPr>
            </w:pPr>
            <w:r>
              <w:rPr>
                <w:rFonts w:ascii="Times New Roman" w:hAnsi="宋体"/>
                <w:szCs w:val="21"/>
              </w:rPr>
              <w:t>项目</w:t>
            </w:r>
          </w:p>
        </w:tc>
        <w:tc>
          <w:tcPr>
            <w:tcW w:w="633" w:type="pct"/>
          </w:tcPr>
          <w:p>
            <w:pPr>
              <w:pStyle w:val="48"/>
              <w:rPr>
                <w:rFonts w:ascii="Times New Roman"/>
                <w:szCs w:val="21"/>
              </w:rPr>
            </w:pPr>
            <w:r>
              <w:rPr>
                <w:rFonts w:ascii="Times New Roman"/>
                <w:szCs w:val="21"/>
              </w:rPr>
              <w:t>SO</w:t>
            </w:r>
            <w:r>
              <w:rPr>
                <w:rFonts w:ascii="Times New Roman"/>
                <w:szCs w:val="21"/>
                <w:vertAlign w:val="subscript"/>
              </w:rPr>
              <w:t>2</w:t>
            </w:r>
            <w:r>
              <w:rPr>
                <w:rFonts w:ascii="Times New Roman" w:hAnsi="宋体"/>
                <w:szCs w:val="21"/>
              </w:rPr>
              <w:t>浓度</w:t>
            </w:r>
          </w:p>
        </w:tc>
        <w:tc>
          <w:tcPr>
            <w:tcW w:w="706" w:type="pct"/>
          </w:tcPr>
          <w:p>
            <w:pPr>
              <w:pStyle w:val="48"/>
              <w:rPr>
                <w:rFonts w:ascii="Times New Roman"/>
                <w:szCs w:val="21"/>
              </w:rPr>
            </w:pPr>
            <w:r>
              <w:rPr>
                <w:rFonts w:ascii="Times New Roman"/>
                <w:szCs w:val="21"/>
              </w:rPr>
              <w:t>NO</w:t>
            </w:r>
            <w:r>
              <w:rPr>
                <w:rFonts w:ascii="Times New Roman"/>
                <w:szCs w:val="21"/>
                <w:vertAlign w:val="subscript"/>
              </w:rPr>
              <w:t>2</w:t>
            </w:r>
            <w:r>
              <w:rPr>
                <w:rFonts w:ascii="Times New Roman" w:hAnsi="宋体"/>
                <w:szCs w:val="21"/>
              </w:rPr>
              <w:t>浓度</w:t>
            </w:r>
          </w:p>
        </w:tc>
        <w:tc>
          <w:tcPr>
            <w:tcW w:w="666" w:type="pct"/>
          </w:tcPr>
          <w:p>
            <w:pPr>
              <w:pStyle w:val="48"/>
              <w:rPr>
                <w:rFonts w:ascii="Times New Roman"/>
                <w:szCs w:val="21"/>
              </w:rPr>
            </w:pPr>
            <w:r>
              <w:rPr>
                <w:rFonts w:ascii="Times New Roman"/>
                <w:szCs w:val="21"/>
              </w:rPr>
              <w:t>PM</w:t>
            </w:r>
            <w:r>
              <w:rPr>
                <w:rFonts w:ascii="Times New Roman"/>
                <w:szCs w:val="21"/>
                <w:vertAlign w:val="subscript"/>
              </w:rPr>
              <w:t>10</w:t>
            </w:r>
            <w:r>
              <w:rPr>
                <w:rFonts w:ascii="Times New Roman" w:hAnsi="宋体"/>
                <w:szCs w:val="21"/>
              </w:rPr>
              <w:t>浓度</w:t>
            </w:r>
          </w:p>
        </w:tc>
        <w:tc>
          <w:tcPr>
            <w:tcW w:w="582" w:type="pct"/>
          </w:tcPr>
          <w:p>
            <w:pPr>
              <w:pStyle w:val="48"/>
              <w:rPr>
                <w:rFonts w:ascii="Times New Roman"/>
                <w:szCs w:val="21"/>
              </w:rPr>
            </w:pPr>
            <w:r>
              <w:rPr>
                <w:rFonts w:ascii="Times New Roman"/>
                <w:szCs w:val="21"/>
              </w:rPr>
              <w:t>PM</w:t>
            </w:r>
            <w:r>
              <w:rPr>
                <w:rFonts w:ascii="Times New Roman"/>
                <w:szCs w:val="21"/>
                <w:vertAlign w:val="subscript"/>
              </w:rPr>
              <w:t>2.5</w:t>
            </w:r>
            <w:r>
              <w:rPr>
                <w:rFonts w:ascii="Times New Roman" w:hAnsi="宋体"/>
                <w:szCs w:val="21"/>
              </w:rPr>
              <w:t>浓度</w:t>
            </w:r>
          </w:p>
        </w:tc>
        <w:tc>
          <w:tcPr>
            <w:tcW w:w="836" w:type="pct"/>
          </w:tcPr>
          <w:p>
            <w:pPr>
              <w:pStyle w:val="48"/>
              <w:rPr>
                <w:rFonts w:ascii="Times New Roman"/>
                <w:szCs w:val="21"/>
              </w:rPr>
            </w:pPr>
            <w:r>
              <w:rPr>
                <w:rFonts w:ascii="Times New Roman"/>
                <w:szCs w:val="21"/>
              </w:rPr>
              <w:t>CO</w:t>
            </w:r>
            <w:r>
              <w:rPr>
                <w:rFonts w:ascii="Times New Roman" w:hAnsi="宋体"/>
                <w:szCs w:val="21"/>
              </w:rPr>
              <w:t>第</w:t>
            </w:r>
            <w:r>
              <w:rPr>
                <w:rFonts w:ascii="Times New Roman"/>
                <w:szCs w:val="21"/>
              </w:rPr>
              <w:t>95</w:t>
            </w:r>
            <w:r>
              <w:rPr>
                <w:rFonts w:ascii="Times New Roman" w:hAnsi="宋体"/>
                <w:szCs w:val="21"/>
              </w:rPr>
              <w:t>百分位数浓度值</w:t>
            </w:r>
          </w:p>
        </w:tc>
        <w:tc>
          <w:tcPr>
            <w:tcW w:w="938" w:type="pct"/>
          </w:tcPr>
          <w:p>
            <w:pPr>
              <w:pStyle w:val="48"/>
              <w:rPr>
                <w:rFonts w:ascii="Times New Roman"/>
                <w:szCs w:val="21"/>
              </w:rPr>
            </w:pPr>
            <w:r>
              <w:rPr>
                <w:rFonts w:ascii="Times New Roman"/>
                <w:szCs w:val="21"/>
              </w:rPr>
              <w:t>O</w:t>
            </w:r>
            <w:r>
              <w:rPr>
                <w:rFonts w:ascii="Times New Roman"/>
                <w:szCs w:val="21"/>
                <w:vertAlign w:val="subscript"/>
              </w:rPr>
              <w:t>3</w:t>
            </w:r>
            <w:r>
              <w:rPr>
                <w:rFonts w:ascii="Times New Roman"/>
                <w:szCs w:val="21"/>
              </w:rPr>
              <w:t>-8h</w:t>
            </w:r>
            <w:r>
              <w:rPr>
                <w:rFonts w:ascii="Times New Roman" w:hAnsi="宋体"/>
                <w:szCs w:val="21"/>
              </w:rPr>
              <w:t>第</w:t>
            </w:r>
            <w:r>
              <w:rPr>
                <w:rFonts w:ascii="Times New Roman"/>
                <w:szCs w:val="21"/>
              </w:rPr>
              <w:t>90</w:t>
            </w:r>
            <w:r>
              <w:rPr>
                <w:rFonts w:ascii="Times New Roman" w:hAnsi="宋体"/>
                <w:szCs w:val="21"/>
              </w:rPr>
              <w:t>百分位数浓度值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pct"/>
          </w:tcPr>
          <w:p>
            <w:pPr>
              <w:pStyle w:val="48"/>
              <w:rPr>
                <w:rFonts w:ascii="Times New Roman"/>
                <w:szCs w:val="21"/>
              </w:rPr>
            </w:pPr>
            <w:r>
              <w:rPr>
                <w:rFonts w:ascii="Times New Roman" w:hAnsi="宋体"/>
                <w:szCs w:val="21"/>
              </w:rPr>
              <w:t>五台县</w:t>
            </w:r>
          </w:p>
        </w:tc>
        <w:tc>
          <w:tcPr>
            <w:tcW w:w="633" w:type="pct"/>
          </w:tcPr>
          <w:p>
            <w:pPr>
              <w:pStyle w:val="48"/>
              <w:rPr>
                <w:rFonts w:ascii="Times New Roman"/>
                <w:szCs w:val="21"/>
              </w:rPr>
            </w:pPr>
            <w:r>
              <w:rPr>
                <w:rFonts w:ascii="Times New Roman"/>
                <w:szCs w:val="21"/>
              </w:rPr>
              <w:t>22</w:t>
            </w:r>
          </w:p>
        </w:tc>
        <w:tc>
          <w:tcPr>
            <w:tcW w:w="706" w:type="pct"/>
          </w:tcPr>
          <w:p>
            <w:pPr>
              <w:pStyle w:val="48"/>
              <w:rPr>
                <w:rFonts w:ascii="Times New Roman"/>
                <w:szCs w:val="21"/>
              </w:rPr>
            </w:pPr>
            <w:r>
              <w:rPr>
                <w:rFonts w:ascii="Times New Roman"/>
                <w:szCs w:val="21"/>
              </w:rPr>
              <w:t>20</w:t>
            </w:r>
          </w:p>
        </w:tc>
        <w:tc>
          <w:tcPr>
            <w:tcW w:w="666" w:type="pct"/>
            <w:vAlign w:val="center"/>
          </w:tcPr>
          <w:p>
            <w:pPr>
              <w:pStyle w:val="46"/>
              <w:rPr>
                <w:szCs w:val="21"/>
              </w:rPr>
            </w:pPr>
            <w:r>
              <w:rPr>
                <w:szCs w:val="21"/>
              </w:rPr>
              <w:t>56</w:t>
            </w:r>
          </w:p>
        </w:tc>
        <w:tc>
          <w:tcPr>
            <w:tcW w:w="582" w:type="pct"/>
            <w:vAlign w:val="center"/>
          </w:tcPr>
          <w:p>
            <w:pPr>
              <w:pStyle w:val="46"/>
              <w:rPr>
                <w:szCs w:val="21"/>
              </w:rPr>
            </w:pPr>
            <w:r>
              <w:rPr>
                <w:szCs w:val="21"/>
              </w:rPr>
              <w:t>31</w:t>
            </w:r>
          </w:p>
        </w:tc>
        <w:tc>
          <w:tcPr>
            <w:tcW w:w="836" w:type="pct"/>
            <w:vAlign w:val="center"/>
          </w:tcPr>
          <w:p>
            <w:pPr>
              <w:pStyle w:val="46"/>
              <w:rPr>
                <w:szCs w:val="21"/>
              </w:rPr>
            </w:pPr>
            <w:r>
              <w:rPr>
                <w:szCs w:val="21"/>
              </w:rPr>
              <w:t>2.2</w:t>
            </w:r>
          </w:p>
        </w:tc>
        <w:tc>
          <w:tcPr>
            <w:tcW w:w="938" w:type="pct"/>
            <w:vAlign w:val="center"/>
          </w:tcPr>
          <w:p>
            <w:pPr>
              <w:pStyle w:val="46"/>
              <w:rPr>
                <w:szCs w:val="21"/>
              </w:rPr>
            </w:pPr>
            <w:r>
              <w:rPr>
                <w:szCs w:val="21"/>
              </w:rPr>
              <w:t>154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pct"/>
          </w:tcPr>
          <w:p>
            <w:pPr>
              <w:pStyle w:val="46"/>
              <w:rPr>
                <w:szCs w:val="21"/>
              </w:rPr>
            </w:pPr>
            <w:r>
              <w:rPr>
                <w:rFonts w:hAnsi="宋体"/>
                <w:szCs w:val="21"/>
              </w:rPr>
              <w:t>占标率</w:t>
            </w:r>
          </w:p>
        </w:tc>
        <w:tc>
          <w:tcPr>
            <w:tcW w:w="633" w:type="pct"/>
            <w:vAlign w:val="center"/>
          </w:tcPr>
          <w:p>
            <w:pPr>
              <w:pStyle w:val="48"/>
              <w:rPr>
                <w:rFonts w:ascii="Times New Roman"/>
                <w:szCs w:val="21"/>
              </w:rPr>
            </w:pPr>
            <w:r>
              <w:rPr>
                <w:rFonts w:ascii="Times New Roman"/>
                <w:szCs w:val="21"/>
              </w:rPr>
              <w:t>37%</w:t>
            </w:r>
          </w:p>
        </w:tc>
        <w:tc>
          <w:tcPr>
            <w:tcW w:w="706" w:type="pct"/>
            <w:vAlign w:val="center"/>
          </w:tcPr>
          <w:p>
            <w:pPr>
              <w:pStyle w:val="48"/>
              <w:rPr>
                <w:rFonts w:ascii="Times New Roman"/>
                <w:szCs w:val="21"/>
              </w:rPr>
            </w:pPr>
            <w:r>
              <w:rPr>
                <w:rFonts w:ascii="Times New Roman"/>
                <w:szCs w:val="21"/>
              </w:rPr>
              <w:t>0.5%</w:t>
            </w:r>
          </w:p>
        </w:tc>
        <w:tc>
          <w:tcPr>
            <w:tcW w:w="666" w:type="pct"/>
            <w:vAlign w:val="center"/>
          </w:tcPr>
          <w:p>
            <w:pPr>
              <w:pStyle w:val="48"/>
              <w:rPr>
                <w:rFonts w:ascii="Times New Roman"/>
                <w:szCs w:val="21"/>
              </w:rPr>
            </w:pPr>
            <w:r>
              <w:rPr>
                <w:rFonts w:ascii="Times New Roman"/>
                <w:szCs w:val="21"/>
              </w:rPr>
              <w:t>0.8%</w:t>
            </w:r>
          </w:p>
        </w:tc>
        <w:tc>
          <w:tcPr>
            <w:tcW w:w="582" w:type="pct"/>
            <w:vAlign w:val="center"/>
          </w:tcPr>
          <w:p>
            <w:pPr>
              <w:pStyle w:val="48"/>
              <w:rPr>
                <w:rFonts w:ascii="Times New Roman"/>
                <w:szCs w:val="21"/>
              </w:rPr>
            </w:pPr>
            <w:r>
              <w:rPr>
                <w:rFonts w:ascii="Times New Roman"/>
                <w:szCs w:val="21"/>
              </w:rPr>
              <w:t>0.89%</w:t>
            </w:r>
          </w:p>
        </w:tc>
        <w:tc>
          <w:tcPr>
            <w:tcW w:w="836" w:type="pct"/>
            <w:vAlign w:val="center"/>
          </w:tcPr>
          <w:p>
            <w:pPr>
              <w:pStyle w:val="48"/>
              <w:rPr>
                <w:rFonts w:ascii="Times New Roman"/>
                <w:szCs w:val="21"/>
              </w:rPr>
            </w:pPr>
            <w:r>
              <w:rPr>
                <w:rFonts w:ascii="Times New Roman"/>
                <w:szCs w:val="21"/>
              </w:rPr>
              <w:t>0.55%</w:t>
            </w:r>
          </w:p>
        </w:tc>
        <w:tc>
          <w:tcPr>
            <w:tcW w:w="938" w:type="pct"/>
            <w:vAlign w:val="center"/>
          </w:tcPr>
          <w:p>
            <w:pPr>
              <w:pStyle w:val="48"/>
              <w:rPr>
                <w:rFonts w:ascii="Times New Roman"/>
                <w:szCs w:val="21"/>
              </w:rPr>
            </w:pPr>
            <w:r>
              <w:rPr>
                <w:rFonts w:ascii="Times New Roman"/>
                <w:szCs w:val="21"/>
              </w:rPr>
              <w:t>0.96%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pct"/>
          </w:tcPr>
          <w:p>
            <w:pPr>
              <w:pStyle w:val="48"/>
              <w:rPr>
                <w:rFonts w:ascii="Times New Roman"/>
                <w:szCs w:val="21"/>
              </w:rPr>
            </w:pPr>
            <w:r>
              <w:rPr>
                <w:rFonts w:ascii="Times New Roman" w:hAnsi="宋体"/>
                <w:szCs w:val="21"/>
              </w:rPr>
              <w:t>标准值</w:t>
            </w:r>
          </w:p>
        </w:tc>
        <w:tc>
          <w:tcPr>
            <w:tcW w:w="633" w:type="pct"/>
          </w:tcPr>
          <w:p>
            <w:pPr>
              <w:pStyle w:val="48"/>
              <w:rPr>
                <w:rFonts w:ascii="Times New Roman"/>
                <w:szCs w:val="21"/>
              </w:rPr>
            </w:pPr>
            <w:r>
              <w:rPr>
                <w:rFonts w:ascii="Times New Roman"/>
                <w:szCs w:val="21"/>
              </w:rPr>
              <w:t>60</w:t>
            </w:r>
          </w:p>
        </w:tc>
        <w:tc>
          <w:tcPr>
            <w:tcW w:w="706" w:type="pct"/>
          </w:tcPr>
          <w:p>
            <w:pPr>
              <w:pStyle w:val="48"/>
              <w:rPr>
                <w:rFonts w:ascii="Times New Roman"/>
                <w:szCs w:val="21"/>
              </w:rPr>
            </w:pPr>
            <w:r>
              <w:rPr>
                <w:rFonts w:ascii="Times New Roman"/>
                <w:szCs w:val="21"/>
              </w:rPr>
              <w:t>40</w:t>
            </w:r>
          </w:p>
        </w:tc>
        <w:tc>
          <w:tcPr>
            <w:tcW w:w="666" w:type="pct"/>
          </w:tcPr>
          <w:p>
            <w:pPr>
              <w:pStyle w:val="48"/>
              <w:rPr>
                <w:rFonts w:ascii="Times New Roman"/>
                <w:szCs w:val="21"/>
              </w:rPr>
            </w:pPr>
            <w:r>
              <w:rPr>
                <w:rFonts w:ascii="Times New Roman"/>
                <w:szCs w:val="21"/>
              </w:rPr>
              <w:t>70</w:t>
            </w:r>
          </w:p>
        </w:tc>
        <w:tc>
          <w:tcPr>
            <w:tcW w:w="582" w:type="pct"/>
          </w:tcPr>
          <w:p>
            <w:pPr>
              <w:pStyle w:val="48"/>
              <w:rPr>
                <w:rFonts w:ascii="Times New Roman"/>
                <w:szCs w:val="21"/>
              </w:rPr>
            </w:pPr>
            <w:r>
              <w:rPr>
                <w:rFonts w:ascii="Times New Roman"/>
                <w:szCs w:val="21"/>
              </w:rPr>
              <w:t>35</w:t>
            </w:r>
          </w:p>
        </w:tc>
        <w:tc>
          <w:tcPr>
            <w:tcW w:w="836" w:type="pct"/>
          </w:tcPr>
          <w:p>
            <w:pPr>
              <w:pStyle w:val="48"/>
              <w:rPr>
                <w:rFonts w:ascii="Times New Roman"/>
                <w:szCs w:val="21"/>
              </w:rPr>
            </w:pPr>
            <w:r>
              <w:rPr>
                <w:rFonts w:ascii="Times New Roman"/>
                <w:szCs w:val="21"/>
              </w:rPr>
              <w:t>4</w:t>
            </w:r>
          </w:p>
        </w:tc>
        <w:tc>
          <w:tcPr>
            <w:tcW w:w="938" w:type="pct"/>
          </w:tcPr>
          <w:p>
            <w:pPr>
              <w:pStyle w:val="48"/>
              <w:rPr>
                <w:rFonts w:ascii="Times New Roman"/>
                <w:szCs w:val="21"/>
              </w:rPr>
            </w:pPr>
            <w:r>
              <w:rPr>
                <w:rFonts w:ascii="Times New Roman"/>
                <w:szCs w:val="21"/>
              </w:rPr>
              <w:t>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pct"/>
          </w:tcPr>
          <w:p>
            <w:pPr>
              <w:pStyle w:val="48"/>
              <w:rPr>
                <w:rFonts w:ascii="Times New Roman"/>
                <w:szCs w:val="21"/>
              </w:rPr>
            </w:pPr>
            <w:r>
              <w:rPr>
                <w:rFonts w:ascii="Times New Roman" w:hAnsi="宋体"/>
                <w:szCs w:val="21"/>
              </w:rPr>
              <w:t>达标情况</w:t>
            </w:r>
          </w:p>
        </w:tc>
        <w:tc>
          <w:tcPr>
            <w:tcW w:w="633" w:type="pct"/>
          </w:tcPr>
          <w:p>
            <w:pPr>
              <w:pStyle w:val="48"/>
              <w:rPr>
                <w:rFonts w:ascii="Times New Roman"/>
                <w:szCs w:val="21"/>
              </w:rPr>
            </w:pPr>
            <w:r>
              <w:rPr>
                <w:rFonts w:ascii="Times New Roman" w:hAnsi="宋体"/>
                <w:szCs w:val="21"/>
              </w:rPr>
              <w:t>达标</w:t>
            </w:r>
          </w:p>
        </w:tc>
        <w:tc>
          <w:tcPr>
            <w:tcW w:w="706" w:type="pct"/>
          </w:tcPr>
          <w:p>
            <w:pPr>
              <w:pStyle w:val="48"/>
              <w:rPr>
                <w:rFonts w:ascii="Times New Roman"/>
                <w:szCs w:val="21"/>
              </w:rPr>
            </w:pPr>
            <w:r>
              <w:rPr>
                <w:rFonts w:ascii="Times New Roman" w:hAnsi="宋体"/>
                <w:szCs w:val="21"/>
              </w:rPr>
              <w:t>达标</w:t>
            </w:r>
          </w:p>
        </w:tc>
        <w:tc>
          <w:tcPr>
            <w:tcW w:w="666" w:type="pct"/>
          </w:tcPr>
          <w:p>
            <w:pPr>
              <w:pStyle w:val="48"/>
              <w:rPr>
                <w:rFonts w:ascii="Times New Roman"/>
                <w:szCs w:val="21"/>
              </w:rPr>
            </w:pPr>
            <w:r>
              <w:rPr>
                <w:rFonts w:ascii="Times New Roman" w:hAnsi="宋体"/>
                <w:szCs w:val="21"/>
              </w:rPr>
              <w:t>达标</w:t>
            </w:r>
          </w:p>
        </w:tc>
        <w:tc>
          <w:tcPr>
            <w:tcW w:w="582" w:type="pct"/>
          </w:tcPr>
          <w:p>
            <w:pPr>
              <w:pStyle w:val="48"/>
              <w:rPr>
                <w:rFonts w:ascii="Times New Roman"/>
                <w:szCs w:val="21"/>
              </w:rPr>
            </w:pPr>
            <w:r>
              <w:rPr>
                <w:rFonts w:ascii="Times New Roman" w:hAnsi="宋体"/>
                <w:szCs w:val="21"/>
              </w:rPr>
              <w:t>达标</w:t>
            </w:r>
          </w:p>
        </w:tc>
        <w:tc>
          <w:tcPr>
            <w:tcW w:w="836" w:type="pct"/>
          </w:tcPr>
          <w:p>
            <w:pPr>
              <w:pStyle w:val="48"/>
              <w:rPr>
                <w:rFonts w:ascii="Times New Roman"/>
                <w:szCs w:val="21"/>
              </w:rPr>
            </w:pPr>
            <w:r>
              <w:rPr>
                <w:rFonts w:ascii="Times New Roman" w:hAnsi="宋体"/>
                <w:szCs w:val="21"/>
              </w:rPr>
              <w:t>达标</w:t>
            </w:r>
          </w:p>
        </w:tc>
        <w:tc>
          <w:tcPr>
            <w:tcW w:w="938" w:type="pct"/>
          </w:tcPr>
          <w:p>
            <w:pPr>
              <w:pStyle w:val="48"/>
              <w:rPr>
                <w:rFonts w:ascii="Times New Roman"/>
                <w:szCs w:val="21"/>
              </w:rPr>
            </w:pPr>
            <w:r>
              <w:rPr>
                <w:rFonts w:ascii="Times New Roman" w:hAnsi="宋体"/>
                <w:szCs w:val="21"/>
              </w:rPr>
              <w:t>达标</w:t>
            </w:r>
          </w:p>
        </w:tc>
      </w:tr>
    </w:tbl>
    <w:p>
      <w:pPr>
        <w:pStyle w:val="28"/>
        <w:ind w:firstLine="480" w:firstLineChars="200"/>
        <w:rPr>
          <w:rFonts w:ascii="Times New Roman" w:hAnsi="Times New Roman" w:cs="Times New Roman"/>
        </w:rPr>
      </w:pPr>
      <w:r>
        <w:rPr>
          <w:rFonts w:ascii="Times New Roman" w:hAnsi="Times New Roman" w:cs="Times New Roman"/>
        </w:rPr>
        <w:t>由上表可知：该区域年均浓度和相应百分位数浓度值均满足《环境空气质量标准》GB3095-2012中浓度限值要求，因此判定本区域为达标区。</w:t>
      </w:r>
    </w:p>
    <w:p>
      <w:pPr>
        <w:pStyle w:val="30"/>
        <w:spacing w:before="360" w:after="120" w:line="500" w:lineRule="exact"/>
        <w:rPr>
          <w:szCs w:val="30"/>
        </w:rPr>
      </w:pPr>
      <w:bookmarkStart w:id="167" w:name="_Toc517445843"/>
      <w:bookmarkStart w:id="168" w:name="_Toc517445069"/>
      <w:bookmarkStart w:id="169" w:name="_Toc517446415"/>
      <w:bookmarkStart w:id="170" w:name="_Toc71036647"/>
      <w:bookmarkStart w:id="171" w:name="_Toc19239"/>
      <w:bookmarkStart w:id="172" w:name="_Toc517446101"/>
      <w:r>
        <w:rPr>
          <w:szCs w:val="30"/>
        </w:rPr>
        <w:t>3.2 矿产资源开发状况</w:t>
      </w:r>
      <w:bookmarkEnd w:id="167"/>
      <w:bookmarkEnd w:id="168"/>
      <w:bookmarkEnd w:id="169"/>
      <w:bookmarkEnd w:id="170"/>
      <w:bookmarkEnd w:id="171"/>
      <w:bookmarkEnd w:id="172"/>
    </w:p>
    <w:p>
      <w:pPr>
        <w:pStyle w:val="31"/>
      </w:pPr>
      <w:bookmarkStart w:id="173" w:name="_Toc71036648"/>
      <w:r>
        <w:t>3.2.</w:t>
      </w:r>
      <w:r>
        <w:rPr>
          <w:rFonts w:hint="eastAsia"/>
        </w:rPr>
        <w:t>1</w:t>
      </w:r>
      <w:r>
        <w:t xml:space="preserve"> 矿产资源开发利用方案</w:t>
      </w:r>
      <w:bookmarkEnd w:id="173"/>
    </w:p>
    <w:p>
      <w:pPr>
        <w:pStyle w:val="28"/>
        <w:ind w:firstLine="480" w:firstLineChars="200"/>
        <w:rPr>
          <w:rFonts w:ascii="Times New Roman" w:hAnsi="Times New Roman" w:cs="Times New Roman"/>
        </w:rPr>
      </w:pPr>
      <w:r>
        <w:rPr>
          <w:rFonts w:ascii="Times New Roman" w:hAnsi="Times New Roman" w:cs="Times New Roman"/>
        </w:rPr>
        <w:t>五台县安顺源石料有限公司委托山西昊迪地质勘查技术服务有限责任公司于20</w:t>
      </w:r>
      <w:r>
        <w:rPr>
          <w:rFonts w:hint="eastAsia" w:ascii="Times New Roman" w:hAnsi="Times New Roman" w:cs="Times New Roman"/>
        </w:rPr>
        <w:t>20</w:t>
      </w:r>
      <w:r>
        <w:rPr>
          <w:rFonts w:ascii="Times New Roman" w:hAnsi="Times New Roman" w:cs="Times New Roman"/>
        </w:rPr>
        <w:t>年</w:t>
      </w:r>
      <w:r>
        <w:rPr>
          <w:rFonts w:hint="eastAsia" w:ascii="Times New Roman" w:hAnsi="Times New Roman" w:cs="Times New Roman"/>
        </w:rPr>
        <w:t>3</w:t>
      </w:r>
      <w:r>
        <w:rPr>
          <w:rFonts w:ascii="Times New Roman" w:hAnsi="Times New Roman" w:cs="Times New Roman"/>
        </w:rPr>
        <w:t>月编制完成了《山西省五台县安顺源石料有限公司建筑石料用灰岩矿山矿产资源开发利用、地质环境保护与治理恢复、土地复垦方案》。</w:t>
      </w:r>
    </w:p>
    <w:p>
      <w:pPr>
        <w:pStyle w:val="31"/>
      </w:pPr>
      <w:bookmarkStart w:id="174" w:name="_Toc71036649"/>
      <w:r>
        <w:rPr>
          <w:bCs w:val="0"/>
        </w:rPr>
        <w:t xml:space="preserve">3.2.2 </w:t>
      </w:r>
      <w:r>
        <w:rPr>
          <w:bCs w:val="0"/>
          <w:szCs w:val="24"/>
        </w:rPr>
        <w:t>矿山储量及设计能力</w:t>
      </w:r>
      <w:bookmarkEnd w:id="174"/>
    </w:p>
    <w:p>
      <w:pPr>
        <w:pStyle w:val="28"/>
        <w:ind w:firstLine="480" w:firstLineChars="200"/>
        <w:rPr>
          <w:rFonts w:ascii="Times New Roman" w:hAnsi="Times New Roman" w:cs="Times New Roman"/>
        </w:rPr>
      </w:pPr>
      <w:r>
        <w:rPr>
          <w:rFonts w:ascii="Times New Roman" w:hAnsi="Times New Roman" w:cs="Times New Roman"/>
        </w:rPr>
        <w:t>矿山自资源储量备案后资源储量未动用，截止2018年底全区累计查明332+333资源量12.2万吨，累计动用资源量2.0万吨，保有332+333资源量10.2万吨，矿山自2018年矿山储量年报资源储量备案后处于停产状态，未动用建筑石料用灰岩矿</w:t>
      </w:r>
      <w:r>
        <w:rPr>
          <w:rFonts w:hint="eastAsia" w:ascii="Times New Roman" w:hAnsi="Times New Roman" w:cs="Times New Roman"/>
        </w:rPr>
        <w:t>。“三合一”方案设计</w:t>
      </w:r>
      <w:r>
        <w:rPr>
          <w:rFonts w:ascii="Times New Roman" w:hAnsi="Times New Roman" w:cs="Times New Roman"/>
        </w:rPr>
        <w:t>可采储量</w:t>
      </w:r>
      <w:r>
        <w:rPr>
          <w:rFonts w:hint="eastAsia" w:ascii="Times New Roman" w:hAnsi="Times New Roman" w:cs="Times New Roman"/>
        </w:rPr>
        <w:t>8.21</w:t>
      </w:r>
      <w:r>
        <w:rPr>
          <w:rFonts w:ascii="Times New Roman" w:hAnsi="Times New Roman" w:cs="Times New Roman"/>
        </w:rPr>
        <w:t>万吨</w:t>
      </w:r>
      <w:r>
        <w:rPr>
          <w:rFonts w:hint="eastAsia" w:ascii="Times New Roman" w:hAnsi="Times New Roman" w:cs="Times New Roman"/>
        </w:rPr>
        <w:t>，</w:t>
      </w:r>
      <w:r>
        <w:rPr>
          <w:rFonts w:ascii="Times New Roman" w:hAnsi="Times New Roman" w:cs="Times New Roman"/>
        </w:rPr>
        <w:t>设计生产规模3万吨/年</w:t>
      </w:r>
      <w:r>
        <w:rPr>
          <w:rFonts w:hint="eastAsia" w:ascii="Times New Roman" w:hAnsi="Times New Roman" w:cs="Times New Roman"/>
        </w:rPr>
        <w:t>，</w:t>
      </w:r>
      <w:r>
        <w:rPr>
          <w:rFonts w:ascii="Times New Roman" w:hAnsi="Times New Roman" w:cs="Times New Roman"/>
        </w:rPr>
        <w:t>矿山服务年限</w:t>
      </w:r>
      <w:r>
        <w:rPr>
          <w:rFonts w:hint="eastAsia" w:ascii="Times New Roman" w:hAnsi="Times New Roman" w:cs="Times New Roman"/>
        </w:rPr>
        <w:t>2.74</w:t>
      </w:r>
      <w:r>
        <w:rPr>
          <w:rFonts w:ascii="Times New Roman" w:hAnsi="Times New Roman" w:cs="Times New Roman"/>
        </w:rPr>
        <w:t>年</w:t>
      </w:r>
      <w:r>
        <w:rPr>
          <w:rFonts w:hint="eastAsia" w:ascii="Times New Roman" w:hAnsi="Times New Roman" w:cs="Times New Roman"/>
        </w:rPr>
        <w:t>。</w:t>
      </w:r>
    </w:p>
    <w:p>
      <w:pPr>
        <w:pStyle w:val="31"/>
      </w:pPr>
      <w:bookmarkStart w:id="175" w:name="_Toc71036650"/>
      <w:r>
        <w:t>3.2. 4 矿山</w:t>
      </w:r>
      <w:r>
        <w:rPr>
          <w:rFonts w:hint="eastAsia"/>
        </w:rPr>
        <w:t>采矿</w:t>
      </w:r>
      <w:r>
        <w:t>方</w:t>
      </w:r>
      <w:r>
        <w:rPr>
          <w:rFonts w:hint="eastAsia"/>
        </w:rPr>
        <w:t>法</w:t>
      </w:r>
      <w:bookmarkEnd w:id="175"/>
    </w:p>
    <w:p>
      <w:pPr>
        <w:pStyle w:val="28"/>
        <w:ind w:firstLine="480" w:firstLineChars="200"/>
        <w:rPr>
          <w:rFonts w:ascii="Times New Roman" w:hAnsi="Times New Roman" w:cs="Times New Roman"/>
        </w:rPr>
      </w:pPr>
      <w:r>
        <w:rPr>
          <w:rFonts w:hint="eastAsia" w:ascii="Times New Roman" w:hAnsi="Times New Roman" w:cs="Times New Roman"/>
        </w:rPr>
        <w:t>“三合一”方案设计</w:t>
      </w:r>
      <w:r>
        <w:rPr>
          <w:rFonts w:ascii="Times New Roman" w:hAnsi="Times New Roman" w:cs="Times New Roman"/>
        </w:rPr>
        <w:t>五台县安顺源石料有限公司采矿方法采用台阶法进行开采</w:t>
      </w:r>
      <w:r>
        <w:rPr>
          <w:rFonts w:hint="eastAsia" w:ascii="Times New Roman" w:hAnsi="Times New Roman" w:cs="Times New Roman"/>
        </w:rPr>
        <w:t>，</w:t>
      </w:r>
      <w:r>
        <w:rPr>
          <w:rFonts w:ascii="Times New Roman" w:hAnsi="Times New Roman"/>
        </w:rPr>
        <w:t>最大开采深度及开采水平划分：矿界内最高开采水平标高1100米，最低开采水平标高1075米，最大垂直深度25米，设计开采台阶高度10米，自上而下共划分为以1075m为底的1085m</w:t>
      </w:r>
      <w:r>
        <w:rPr>
          <w:rFonts w:hint="eastAsia" w:ascii="Times New Roman" w:hAnsi="Times New Roman"/>
        </w:rPr>
        <w:t>、1095m三</w:t>
      </w:r>
      <w:r>
        <w:rPr>
          <w:rFonts w:ascii="Times New Roman" w:hAnsi="Times New Roman"/>
        </w:rPr>
        <w:t>个水平。</w:t>
      </w:r>
      <w:r>
        <w:rPr>
          <w:rFonts w:ascii="Times New Roman" w:hAnsi="Times New Roman" w:cs="Times New Roman"/>
        </w:rPr>
        <w:t>开采台阶和终了台阶的高度及数量：根据矿、岩物理机械性质和采掘工艺要求，开采台阶高度10米，终了阶段数</w:t>
      </w:r>
      <w:r>
        <w:rPr>
          <w:rFonts w:hint="eastAsia" w:ascii="Times New Roman" w:hAnsi="Times New Roman" w:cs="Times New Roman"/>
        </w:rPr>
        <w:t>3</w:t>
      </w:r>
      <w:r>
        <w:rPr>
          <w:rFonts w:ascii="Times New Roman" w:hAnsi="Times New Roman" w:cs="Times New Roman"/>
        </w:rPr>
        <w:t>个。工作台阶坡面角为70°，终了台阶坡面角为65°，岩石最终边坡角：</w:t>
      </w:r>
      <w:r>
        <w:rPr>
          <w:rFonts w:hint="eastAsia" w:ascii="Times New Roman" w:hAnsi="Times New Roman" w:cs="Times New Roman"/>
        </w:rPr>
        <w:t>53~</w:t>
      </w:r>
      <w:r>
        <w:rPr>
          <w:rFonts w:ascii="Times New Roman" w:hAnsi="Times New Roman" w:cs="Times New Roman"/>
        </w:rPr>
        <w:t xml:space="preserve"> 55°。</w:t>
      </w:r>
    </w:p>
    <w:p>
      <w:pPr>
        <w:pStyle w:val="31"/>
      </w:pPr>
      <w:bookmarkStart w:id="176" w:name="_Toc71036651"/>
      <w:r>
        <w:t>3.2.</w:t>
      </w:r>
      <w:r>
        <w:rPr>
          <w:rFonts w:hint="eastAsia"/>
        </w:rPr>
        <w:t>5</w:t>
      </w:r>
      <w:r>
        <w:t>上一轮矿山生态环境保护与恢复治理方案完成情况</w:t>
      </w:r>
      <w:bookmarkEnd w:id="176"/>
    </w:p>
    <w:p>
      <w:pPr>
        <w:pStyle w:val="28"/>
        <w:ind w:firstLine="480" w:firstLineChars="200"/>
        <w:rPr>
          <w:rFonts w:ascii="Times New Roman" w:hAnsi="Times New Roman" w:cs="Times New Roman"/>
        </w:rPr>
      </w:pPr>
      <w:r>
        <w:rPr>
          <w:rFonts w:hint="eastAsia" w:ascii="Times New Roman" w:hAnsi="Times New Roman" w:cs="Times New Roman"/>
        </w:rPr>
        <w:t>矿山</w:t>
      </w:r>
      <w:r>
        <w:rPr>
          <w:rFonts w:ascii="Times New Roman" w:hAnsi="Times New Roman" w:cs="Times New Roman"/>
        </w:rPr>
        <w:t>未编制提交矿山生态恢复与环境综合治理方案。</w:t>
      </w:r>
    </w:p>
    <w:p>
      <w:pPr>
        <w:pStyle w:val="30"/>
        <w:spacing w:before="120" w:after="120"/>
        <w:rPr>
          <w:szCs w:val="30"/>
        </w:rPr>
      </w:pPr>
      <w:bookmarkStart w:id="177" w:name="_Toc517445076"/>
      <w:bookmarkStart w:id="178" w:name="_Toc339349816"/>
      <w:bookmarkStart w:id="179" w:name="_Toc517446422"/>
      <w:bookmarkStart w:id="180" w:name="_Toc71036652"/>
      <w:bookmarkStart w:id="181" w:name="_Toc353454689"/>
      <w:bookmarkStart w:id="182" w:name="_Toc12998"/>
      <w:bookmarkStart w:id="183" w:name="_Toc517445850"/>
      <w:bookmarkStart w:id="184" w:name="_Toc517446108"/>
      <w:bookmarkStart w:id="185" w:name="_Toc339980399"/>
      <w:bookmarkStart w:id="186" w:name="_Toc307911859"/>
      <w:bookmarkStart w:id="187" w:name="_Toc317092186"/>
      <w:bookmarkStart w:id="188" w:name="_Toc345593780"/>
      <w:bookmarkStart w:id="189" w:name="_Toc346197084"/>
      <w:r>
        <w:rPr>
          <w:szCs w:val="30"/>
        </w:rPr>
        <w:t>3.3 矿山环境污染与生态破坏状况</w:t>
      </w:r>
      <w:bookmarkEnd w:id="177"/>
      <w:bookmarkEnd w:id="178"/>
      <w:bookmarkEnd w:id="179"/>
      <w:bookmarkEnd w:id="180"/>
      <w:bookmarkEnd w:id="181"/>
      <w:bookmarkEnd w:id="182"/>
      <w:bookmarkEnd w:id="183"/>
      <w:bookmarkEnd w:id="184"/>
    </w:p>
    <w:bookmarkEnd w:id="185"/>
    <w:bookmarkEnd w:id="186"/>
    <w:bookmarkEnd w:id="187"/>
    <w:bookmarkEnd w:id="188"/>
    <w:bookmarkEnd w:id="189"/>
    <w:p>
      <w:pPr>
        <w:pStyle w:val="31"/>
        <w:spacing w:line="500" w:lineRule="exact"/>
      </w:pPr>
      <w:bookmarkStart w:id="190" w:name="_Toc13146"/>
      <w:bookmarkStart w:id="191" w:name="_Toc517446109"/>
      <w:bookmarkStart w:id="192" w:name="_Toc517445851"/>
      <w:bookmarkStart w:id="193" w:name="_Toc517446423"/>
      <w:bookmarkStart w:id="194" w:name="_Toc517445077"/>
      <w:bookmarkStart w:id="195" w:name="_Toc71036653"/>
      <w:r>
        <w:t>3.3.1 调查</w:t>
      </w:r>
      <w:bookmarkEnd w:id="190"/>
      <w:bookmarkEnd w:id="191"/>
      <w:bookmarkEnd w:id="192"/>
      <w:bookmarkEnd w:id="193"/>
      <w:bookmarkEnd w:id="194"/>
      <w:r>
        <w:t>目的及范围</w:t>
      </w:r>
      <w:bookmarkEnd w:id="195"/>
    </w:p>
    <w:p>
      <w:pPr>
        <w:pStyle w:val="28"/>
        <w:rPr>
          <w:rFonts w:ascii="Times New Roman" w:hAnsi="Times New Roman" w:cs="Times New Roman"/>
          <w:b/>
          <w:bCs/>
        </w:rPr>
      </w:pPr>
      <w:r>
        <w:rPr>
          <w:rFonts w:ascii="Times New Roman" w:hAnsi="Times New Roman" w:cs="Times New Roman"/>
          <w:b/>
          <w:bCs/>
        </w:rPr>
        <w:t>3.3.1.1 调查目的</w:t>
      </w:r>
    </w:p>
    <w:p>
      <w:pPr>
        <w:pStyle w:val="28"/>
        <w:ind w:firstLine="480" w:firstLineChars="200"/>
        <w:rPr>
          <w:rFonts w:ascii="Times New Roman" w:hAnsi="Times New Roman" w:cs="Times New Roman"/>
        </w:rPr>
      </w:pPr>
      <w:r>
        <w:rPr>
          <w:rFonts w:ascii="Times New Roman" w:hAnsi="Times New Roman" w:cs="Times New Roman"/>
        </w:rPr>
        <w:t>1、通过对区域生态环境现状的调查，对其做出科学的分析；</w:t>
      </w:r>
    </w:p>
    <w:p>
      <w:pPr>
        <w:pStyle w:val="28"/>
        <w:ind w:firstLine="480" w:firstLineChars="200"/>
        <w:rPr>
          <w:rFonts w:ascii="Times New Roman" w:hAnsi="Times New Roman" w:cs="Times New Roman"/>
        </w:rPr>
      </w:pPr>
      <w:r>
        <w:rPr>
          <w:rFonts w:ascii="Times New Roman" w:hAnsi="Times New Roman" w:cs="Times New Roman"/>
        </w:rPr>
        <w:t>2、在生态环境现状科学分析的基础上，预测</w:t>
      </w:r>
      <w:r>
        <w:rPr>
          <w:rFonts w:hint="eastAsia" w:ascii="Times New Roman" w:hAnsi="Times New Roman" w:cs="Times New Roman"/>
        </w:rPr>
        <w:t>矿山</w:t>
      </w:r>
      <w:r>
        <w:rPr>
          <w:rFonts w:ascii="Times New Roman" w:hAnsi="Times New Roman" w:cs="Times New Roman"/>
        </w:rPr>
        <w:t>开采对目前生态环境产生的影响</w:t>
      </w:r>
      <w:r>
        <w:rPr>
          <w:rFonts w:hint="eastAsia" w:ascii="Times New Roman" w:hAnsi="Times New Roman" w:cs="Times New Roman"/>
        </w:rPr>
        <w:t>，</w:t>
      </w:r>
      <w:r>
        <w:rPr>
          <w:rFonts w:ascii="Times New Roman" w:hAnsi="Times New Roman" w:cs="Times New Roman"/>
        </w:rPr>
        <w:t>并制定相应的恢复和预防的规划措施；</w:t>
      </w:r>
    </w:p>
    <w:p>
      <w:pPr>
        <w:pStyle w:val="28"/>
        <w:ind w:firstLine="480" w:firstLineChars="200"/>
        <w:rPr>
          <w:rFonts w:ascii="Times New Roman" w:hAnsi="Times New Roman" w:cs="Times New Roman"/>
        </w:rPr>
      </w:pPr>
      <w:r>
        <w:rPr>
          <w:rFonts w:ascii="Times New Roman" w:hAnsi="Times New Roman" w:cs="Times New Roman"/>
        </w:rPr>
        <w:t>3、为建设单位、设计部门和管理部门提供生态环境方面的科学依据。</w:t>
      </w:r>
    </w:p>
    <w:p>
      <w:pPr>
        <w:pStyle w:val="28"/>
        <w:rPr>
          <w:rFonts w:ascii="Times New Roman" w:hAnsi="Times New Roman" w:cs="Times New Roman"/>
          <w:b/>
          <w:bCs/>
        </w:rPr>
      </w:pPr>
      <w:r>
        <w:rPr>
          <w:rFonts w:ascii="Times New Roman" w:hAnsi="Times New Roman" w:cs="Times New Roman"/>
          <w:b/>
          <w:bCs/>
        </w:rPr>
        <w:t>3.3.1.2 调查范围</w:t>
      </w:r>
    </w:p>
    <w:p>
      <w:pPr>
        <w:pStyle w:val="28"/>
        <w:ind w:firstLine="480" w:firstLineChars="200"/>
        <w:rPr>
          <w:rFonts w:ascii="Times New Roman" w:hAnsi="Times New Roman" w:cs="Times New Roman"/>
        </w:rPr>
      </w:pPr>
      <w:r>
        <w:rPr>
          <w:rFonts w:ascii="Times New Roman" w:hAnsi="Times New Roman" w:cs="Times New Roman"/>
        </w:rPr>
        <w:t>生态环境破坏状况调查范围在方案编制范围内进行，调查范围内包括</w:t>
      </w:r>
      <w:r>
        <w:rPr>
          <w:rFonts w:hint="eastAsia" w:ascii="Times New Roman" w:hAnsi="Times New Roman" w:cs="Times New Roman"/>
        </w:rPr>
        <w:t>矿山</w:t>
      </w:r>
      <w:r>
        <w:rPr>
          <w:rFonts w:ascii="Times New Roman" w:hAnsi="Times New Roman" w:cs="Times New Roman"/>
        </w:rPr>
        <w:t>采场以及受采矿影响的周围环境及其它敏感因素。</w:t>
      </w:r>
    </w:p>
    <w:p>
      <w:pPr>
        <w:pStyle w:val="31"/>
        <w:spacing w:line="500" w:lineRule="exact"/>
      </w:pPr>
      <w:bookmarkStart w:id="196" w:name="_Toc71036654"/>
      <w:r>
        <w:t>3.3.2调查内容及方法</w:t>
      </w:r>
      <w:bookmarkEnd w:id="196"/>
    </w:p>
    <w:p>
      <w:pPr>
        <w:pStyle w:val="28"/>
        <w:rPr>
          <w:rFonts w:ascii="Times New Roman" w:hAnsi="Times New Roman" w:cs="Times New Roman"/>
          <w:b/>
          <w:bCs/>
        </w:rPr>
      </w:pPr>
      <w:r>
        <w:rPr>
          <w:rFonts w:ascii="Times New Roman" w:hAnsi="Times New Roman" w:cs="Times New Roman"/>
          <w:b/>
          <w:bCs/>
        </w:rPr>
        <w:t>3.3.2.1 调查内容</w:t>
      </w:r>
    </w:p>
    <w:p>
      <w:pPr>
        <w:pStyle w:val="28"/>
        <w:ind w:firstLine="480" w:firstLineChars="200"/>
        <w:rPr>
          <w:rFonts w:ascii="Times New Roman" w:hAnsi="Times New Roman"/>
        </w:rPr>
      </w:pPr>
      <w:r>
        <w:rPr>
          <w:rFonts w:ascii="Times New Roman" w:hAnsi="Times New Roman"/>
        </w:rPr>
        <w:t xml:space="preserve">调查内容主要包括矿区生态环境现状、矿区生态环境破坏情况、矿区环境治治理现状。其中，矿区生态环境破坏情况，主要调查内容如下： </w:t>
      </w:r>
    </w:p>
    <w:p>
      <w:pPr>
        <w:pStyle w:val="28"/>
        <w:ind w:firstLine="480" w:firstLineChars="200"/>
        <w:rPr>
          <w:rFonts w:ascii="Times New Roman" w:hAnsi="Times New Roman"/>
        </w:rPr>
      </w:pPr>
      <w:r>
        <w:rPr>
          <w:rFonts w:ascii="Times New Roman" w:hAnsi="Times New Roman"/>
        </w:rPr>
        <w:t>（1）矿区土地、植被占用和破坏情况，矿业活动对土地（植被）资源影响和破坏，包括改变土地利用现状、地貌景观破坏，以及水土流失</w:t>
      </w:r>
      <w:r>
        <w:rPr>
          <w:rFonts w:hint="eastAsia" w:ascii="Times New Roman" w:hAnsi="Times New Roman"/>
        </w:rPr>
        <w:t>情况</w:t>
      </w:r>
      <w:r>
        <w:rPr>
          <w:rFonts w:ascii="Times New Roman" w:hAnsi="Times New Roman"/>
        </w:rPr>
        <w:t xml:space="preserve">等； </w:t>
      </w:r>
    </w:p>
    <w:p>
      <w:pPr>
        <w:pStyle w:val="28"/>
        <w:ind w:firstLine="480" w:firstLineChars="200"/>
        <w:rPr>
          <w:rFonts w:ascii="Times New Roman" w:hAnsi="Times New Roman" w:cs="Times New Roman"/>
        </w:rPr>
      </w:pPr>
      <w:r>
        <w:rPr>
          <w:rFonts w:ascii="Times New Roman" w:hAnsi="Times New Roman" w:cs="Times New Roman"/>
        </w:rPr>
        <w:t>（2）</w:t>
      </w:r>
      <w:r>
        <w:rPr>
          <w:rFonts w:hint="eastAsia"/>
        </w:rPr>
        <w:t>矿山开采、剥离表土、原料及产品的堆放、石粉的处置等对环境的影响</w:t>
      </w:r>
      <w:r>
        <w:rPr>
          <w:rFonts w:ascii="Times New Roman" w:hAnsi="Times New Roman" w:cs="Times New Roman"/>
        </w:rPr>
        <w:t>。包括调查生活污水的产生、处理、利用；矿区专用道路、废石场等污染源排放及治理情况调查；固体废物产生量、处置情况、占地情况及产生的生态环境影响。重点调查：矿界涉及范围、废石堆放场、不稳定边坡、运输路线等开采生态环境受影响和破坏的区域。</w:t>
      </w:r>
    </w:p>
    <w:p>
      <w:pPr>
        <w:pStyle w:val="28"/>
        <w:rPr>
          <w:rFonts w:ascii="Times New Roman" w:hAnsi="Times New Roman" w:cs="Times New Roman"/>
          <w:b/>
          <w:bCs/>
        </w:rPr>
      </w:pPr>
      <w:r>
        <w:rPr>
          <w:rFonts w:ascii="Times New Roman" w:hAnsi="Times New Roman" w:cs="Times New Roman"/>
          <w:b/>
          <w:bCs/>
        </w:rPr>
        <w:t>3.3.2.2 调查方法</w:t>
      </w:r>
    </w:p>
    <w:p>
      <w:pPr>
        <w:pStyle w:val="28"/>
        <w:ind w:firstLine="480" w:firstLineChars="200"/>
        <w:rPr>
          <w:rFonts w:ascii="Times New Roman" w:hAnsi="Times New Roman" w:cs="Times New Roman"/>
        </w:rPr>
      </w:pPr>
      <w:r>
        <w:rPr>
          <w:rFonts w:ascii="Times New Roman" w:hAnsi="Times New Roman" w:cs="Times New Roman"/>
        </w:rPr>
        <w:t>针对以上的调查内容，采取的调查方式主要有以下几种：</w:t>
      </w:r>
    </w:p>
    <w:p>
      <w:pPr>
        <w:pStyle w:val="28"/>
        <w:ind w:firstLine="480" w:firstLineChars="200"/>
        <w:rPr>
          <w:rFonts w:ascii="Times New Roman" w:hAnsi="Times New Roman" w:cs="Times New Roman"/>
        </w:rPr>
      </w:pPr>
      <w:r>
        <w:rPr>
          <w:rFonts w:ascii="Times New Roman" w:hAnsi="Times New Roman" w:cs="Times New Roman"/>
        </w:rPr>
        <w:t>1、资料收集：通过收集项目初步设计、环境影响评价报告、地质报告</w:t>
      </w:r>
      <w:r>
        <w:rPr>
          <w:rFonts w:hint="eastAsia" w:ascii="Times New Roman" w:hAnsi="Times New Roman" w:cs="Times New Roman"/>
        </w:rPr>
        <w:t>、“三合一”方案</w:t>
      </w:r>
      <w:r>
        <w:rPr>
          <w:rFonts w:ascii="Times New Roman" w:hAnsi="Times New Roman" w:cs="Times New Roman"/>
        </w:rPr>
        <w:t>等资料获得有效的数据和资料；</w:t>
      </w:r>
    </w:p>
    <w:p>
      <w:pPr>
        <w:pStyle w:val="28"/>
        <w:ind w:firstLine="480" w:firstLineChars="200"/>
        <w:rPr>
          <w:rFonts w:ascii="Times New Roman" w:hAnsi="Times New Roman" w:cs="Times New Roman"/>
        </w:rPr>
      </w:pPr>
      <w:r>
        <w:rPr>
          <w:rFonts w:ascii="Times New Roman" w:hAnsi="Times New Roman" w:cs="Times New Roman"/>
        </w:rPr>
        <w:t>2、计算：根据矿区所提供的人口以及开采过程中一些实际情况，对矿区产生的灰尘、生活污水、</w:t>
      </w:r>
      <w:r>
        <w:rPr>
          <w:rFonts w:hint="eastAsia" w:ascii="Times New Roman" w:hAnsi="Times New Roman" w:cs="Times New Roman"/>
        </w:rPr>
        <w:t>废</w:t>
      </w:r>
      <w:r>
        <w:rPr>
          <w:rFonts w:ascii="Times New Roman" w:hAnsi="Times New Roman" w:cs="Times New Roman"/>
        </w:rPr>
        <w:t>渣及生活垃圾的排放量进行估算；</w:t>
      </w:r>
    </w:p>
    <w:p>
      <w:pPr>
        <w:pStyle w:val="28"/>
        <w:ind w:firstLine="480" w:firstLineChars="200"/>
        <w:rPr>
          <w:rFonts w:ascii="Times New Roman" w:hAnsi="Times New Roman" w:cs="Times New Roman"/>
        </w:rPr>
      </w:pPr>
      <w:r>
        <w:rPr>
          <w:rFonts w:ascii="Times New Roman" w:hAnsi="Times New Roman" w:cs="Times New Roman"/>
        </w:rPr>
        <w:t>3、遥感影像法：通过对卫星影像图片的解译来调查评价范围内生态系统、地表植被及土地利用、土壤侵蚀情况；</w:t>
      </w:r>
    </w:p>
    <w:p>
      <w:pPr>
        <w:pStyle w:val="28"/>
        <w:ind w:firstLine="480" w:firstLineChars="200"/>
        <w:rPr>
          <w:rFonts w:ascii="Times New Roman" w:hAnsi="Times New Roman" w:cs="Times New Roman"/>
        </w:rPr>
      </w:pPr>
      <w:r>
        <w:rPr>
          <w:rFonts w:ascii="Times New Roman" w:hAnsi="Times New Roman" w:cs="Times New Roman"/>
        </w:rPr>
        <w:t>4、现场调查：对矿区的环保措施及其地表植被及地质灾害情况进行实地现场勘查，照片提取典型信息，同时对矿区对周围村庄的影响进行实地走访调查。</w:t>
      </w:r>
    </w:p>
    <w:p>
      <w:pPr>
        <w:pStyle w:val="31"/>
      </w:pPr>
      <w:bookmarkStart w:id="197" w:name="_Toc71036655"/>
      <w:r>
        <w:t>3.3.3 调查结果与评价</w:t>
      </w:r>
      <w:bookmarkEnd w:id="197"/>
    </w:p>
    <w:p>
      <w:pPr>
        <w:pStyle w:val="28"/>
        <w:ind w:firstLine="480" w:firstLineChars="200"/>
        <w:rPr>
          <w:rFonts w:ascii="Times New Roman" w:hAnsi="Times New Roman" w:cs="Times New Roman"/>
        </w:rPr>
      </w:pPr>
      <w:r>
        <w:rPr>
          <w:rFonts w:ascii="Times New Roman" w:hAnsi="Times New Roman" w:cs="Times New Roman"/>
        </w:rPr>
        <w:t>根据调查内容分别应用以上方法对评价区的生态环境现状、水土流失现状以及矿区各污染物排放情况等进行调查，得到矿山的现状调查结果。</w:t>
      </w:r>
    </w:p>
    <w:p>
      <w:pPr>
        <w:pStyle w:val="28"/>
        <w:rPr>
          <w:rFonts w:ascii="Times New Roman" w:hAnsi="Times New Roman" w:cs="Times New Roman"/>
          <w:b/>
          <w:bCs/>
        </w:rPr>
      </w:pPr>
      <w:r>
        <w:rPr>
          <w:rFonts w:ascii="Times New Roman" w:hAnsi="Times New Roman" w:cs="Times New Roman"/>
          <w:b/>
          <w:bCs/>
        </w:rPr>
        <w:t>3.3.3.1 自然生态环境现状调查</w:t>
      </w:r>
    </w:p>
    <w:p>
      <w:pPr>
        <w:pStyle w:val="28"/>
        <w:ind w:firstLine="482" w:firstLineChars="200"/>
        <w:rPr>
          <w:rFonts w:ascii="Times New Roman" w:hAnsi="Times New Roman" w:cs="Times New Roman"/>
          <w:b/>
          <w:bCs/>
        </w:rPr>
      </w:pPr>
      <w:r>
        <w:rPr>
          <w:rFonts w:ascii="Times New Roman" w:hAnsi="Times New Roman" w:cs="Times New Roman"/>
          <w:b/>
          <w:bCs/>
        </w:rPr>
        <w:t>（1）土地利用现状调查</w:t>
      </w:r>
    </w:p>
    <w:p>
      <w:pPr>
        <w:pStyle w:val="28"/>
        <w:ind w:firstLine="480" w:firstLineChars="200"/>
        <w:rPr>
          <w:rFonts w:ascii="Times New Roman" w:hAnsi="Times New Roman" w:cs="Times New Roman"/>
        </w:rPr>
      </w:pPr>
      <w:r>
        <w:rPr>
          <w:rFonts w:ascii="Times New Roman" w:hAnsi="Times New Roman" w:cs="Times New Roman"/>
        </w:rPr>
        <w:t>矿山土地利用类型为其它草地、旱地和内陆滩涂。根据五台县</w:t>
      </w:r>
      <w:r>
        <w:rPr>
          <w:rFonts w:hint="eastAsia" w:ascii="Times New Roman" w:hAnsi="Times New Roman" w:cs="Times New Roman"/>
        </w:rPr>
        <w:t>自然</w:t>
      </w:r>
      <w:r>
        <w:rPr>
          <w:rFonts w:ascii="Times New Roman" w:hAnsi="Times New Roman" w:cs="Times New Roman"/>
        </w:rPr>
        <w:t>资源局提供的矿山土地利用现状图资料，利用GIS软件分析，得出矿山</w:t>
      </w:r>
      <w:r>
        <w:rPr>
          <w:rFonts w:hint="eastAsia" w:ascii="Times New Roman" w:hAnsi="Times New Roman" w:cs="Times New Roman"/>
        </w:rPr>
        <w:t>生态</w:t>
      </w:r>
      <w:r>
        <w:rPr>
          <w:rFonts w:ascii="Times New Roman" w:hAnsi="Times New Roman" w:cs="Times New Roman"/>
        </w:rPr>
        <w:t>环境保护与恢复治理</w:t>
      </w:r>
      <w:r>
        <w:rPr>
          <w:rFonts w:hint="eastAsia" w:ascii="Times New Roman" w:hAnsi="Times New Roman" w:cs="Times New Roman"/>
        </w:rPr>
        <w:t>项目</w:t>
      </w:r>
      <w:r>
        <w:rPr>
          <w:rFonts w:ascii="Times New Roman" w:hAnsi="Times New Roman" w:cs="Times New Roman"/>
        </w:rPr>
        <w:t>区的土地利用现状，见表</w:t>
      </w:r>
      <w:r>
        <w:rPr>
          <w:rFonts w:hint="eastAsia" w:ascii="Times New Roman" w:hAnsi="Times New Roman" w:cs="Times New Roman"/>
        </w:rPr>
        <w:t>3-1</w:t>
      </w:r>
      <w:r>
        <w:rPr>
          <w:rFonts w:ascii="Times New Roman" w:hAnsi="Times New Roman" w:cs="Times New Roman"/>
        </w:rPr>
        <w:t>，图</w:t>
      </w:r>
      <w:r>
        <w:rPr>
          <w:rFonts w:hint="eastAsia" w:ascii="Times New Roman" w:hAnsi="Times New Roman" w:cs="Times New Roman"/>
        </w:rPr>
        <w:t>3-4</w:t>
      </w:r>
      <w:r>
        <w:rPr>
          <w:rFonts w:ascii="Times New Roman" w:hAnsi="Times New Roman" w:cs="Times New Roman"/>
        </w:rPr>
        <w:t>。</w:t>
      </w:r>
    </w:p>
    <w:p>
      <w:pPr>
        <w:pStyle w:val="28"/>
        <w:jc w:val="center"/>
        <w:rPr>
          <w:rFonts w:ascii="Times New Roman" w:hAnsi="Times New Roman" w:cs="Times New Roman"/>
          <w:b/>
          <w:bCs/>
        </w:rPr>
      </w:pPr>
      <w:r>
        <w:rPr>
          <w:rFonts w:ascii="Times New Roman" w:hAnsi="Times New Roman" w:cs="Times New Roman"/>
          <w:b/>
          <w:bCs/>
        </w:rPr>
        <w:t>表3-</w:t>
      </w:r>
      <w:r>
        <w:rPr>
          <w:rFonts w:hint="eastAsia" w:ascii="Times New Roman" w:hAnsi="Times New Roman" w:cs="Times New Roman"/>
          <w:b/>
          <w:bCs/>
        </w:rPr>
        <w:t>1</w:t>
      </w:r>
      <w:r>
        <w:rPr>
          <w:rFonts w:ascii="Times New Roman" w:hAnsi="Times New Roman" w:cs="Times New Roman"/>
          <w:b/>
          <w:bCs/>
        </w:rPr>
        <w:t xml:space="preserve">    调查范围内土地利用类型</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2000"/>
        <w:gridCol w:w="709"/>
        <w:gridCol w:w="1682"/>
        <w:gridCol w:w="1700"/>
        <w:gridCol w:w="16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trPr>
        <w:tc>
          <w:tcPr>
            <w:tcW w:w="2816" w:type="dxa"/>
            <w:gridSpan w:val="2"/>
            <w:tcBorders>
              <w:bottom w:val="single" w:color="auto" w:sz="4" w:space="0"/>
            </w:tcBorders>
            <w:vAlign w:val="center"/>
          </w:tcPr>
          <w:p>
            <w:pPr>
              <w:jc w:val="center"/>
              <w:rPr>
                <w:sz w:val="21"/>
                <w:szCs w:val="21"/>
              </w:rPr>
            </w:pPr>
            <w:r>
              <w:rPr>
                <w:sz w:val="21"/>
                <w:szCs w:val="21"/>
              </w:rPr>
              <w:t>一级地类</w:t>
            </w:r>
          </w:p>
        </w:tc>
        <w:tc>
          <w:tcPr>
            <w:tcW w:w="2391" w:type="dxa"/>
            <w:gridSpan w:val="2"/>
            <w:vAlign w:val="center"/>
          </w:tcPr>
          <w:p>
            <w:pPr>
              <w:jc w:val="center"/>
              <w:rPr>
                <w:sz w:val="21"/>
                <w:szCs w:val="21"/>
              </w:rPr>
            </w:pPr>
            <w:r>
              <w:rPr>
                <w:sz w:val="21"/>
                <w:szCs w:val="21"/>
              </w:rPr>
              <w:t>二级地类</w:t>
            </w:r>
          </w:p>
        </w:tc>
        <w:tc>
          <w:tcPr>
            <w:tcW w:w="1700" w:type="dxa"/>
            <w:vMerge w:val="restart"/>
            <w:vAlign w:val="center"/>
          </w:tcPr>
          <w:p>
            <w:pPr>
              <w:jc w:val="center"/>
              <w:rPr>
                <w:sz w:val="21"/>
                <w:szCs w:val="21"/>
              </w:rPr>
            </w:pPr>
            <w:r>
              <w:rPr>
                <w:sz w:val="21"/>
                <w:szCs w:val="21"/>
              </w:rPr>
              <w:t>面积(hm</w:t>
            </w:r>
            <w:r>
              <w:rPr>
                <w:sz w:val="21"/>
                <w:szCs w:val="21"/>
                <w:vertAlign w:val="superscript"/>
              </w:rPr>
              <w:t>2</w:t>
            </w:r>
            <w:r>
              <w:rPr>
                <w:sz w:val="21"/>
                <w:szCs w:val="21"/>
              </w:rPr>
              <w:t>)</w:t>
            </w:r>
          </w:p>
        </w:tc>
        <w:tc>
          <w:tcPr>
            <w:tcW w:w="1615" w:type="dxa"/>
            <w:vMerge w:val="restart"/>
            <w:vAlign w:val="center"/>
          </w:tcPr>
          <w:p>
            <w:pPr>
              <w:jc w:val="center"/>
              <w:rPr>
                <w:sz w:val="21"/>
                <w:szCs w:val="21"/>
              </w:rPr>
            </w:pPr>
            <w:r>
              <w:rPr>
                <w:sz w:val="21"/>
                <w:szCs w:val="21"/>
              </w:rPr>
              <w:t>占总面积比例(%)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trPr>
        <w:tc>
          <w:tcPr>
            <w:tcW w:w="816" w:type="dxa"/>
            <w:tcBorders>
              <w:bottom w:val="single" w:color="auto" w:sz="4" w:space="0"/>
            </w:tcBorders>
            <w:vAlign w:val="center"/>
          </w:tcPr>
          <w:p>
            <w:pPr>
              <w:tabs>
                <w:tab w:val="left" w:pos="7020"/>
              </w:tabs>
              <w:ind w:right="79" w:rightChars="33"/>
              <w:jc w:val="center"/>
              <w:rPr>
                <w:sz w:val="21"/>
                <w:szCs w:val="21"/>
              </w:rPr>
            </w:pPr>
            <w:r>
              <w:rPr>
                <w:sz w:val="21"/>
                <w:szCs w:val="21"/>
              </w:rPr>
              <w:t>编码</w:t>
            </w:r>
          </w:p>
        </w:tc>
        <w:tc>
          <w:tcPr>
            <w:tcW w:w="2000" w:type="dxa"/>
            <w:tcBorders>
              <w:bottom w:val="single" w:color="auto" w:sz="4" w:space="0"/>
            </w:tcBorders>
            <w:vAlign w:val="center"/>
          </w:tcPr>
          <w:p>
            <w:pPr>
              <w:tabs>
                <w:tab w:val="left" w:pos="7020"/>
              </w:tabs>
              <w:ind w:right="79" w:rightChars="33"/>
              <w:jc w:val="center"/>
              <w:rPr>
                <w:sz w:val="21"/>
                <w:szCs w:val="21"/>
              </w:rPr>
            </w:pPr>
            <w:r>
              <w:rPr>
                <w:sz w:val="21"/>
                <w:szCs w:val="21"/>
              </w:rPr>
              <w:t>名称</w:t>
            </w:r>
          </w:p>
        </w:tc>
        <w:tc>
          <w:tcPr>
            <w:tcW w:w="709" w:type="dxa"/>
            <w:vAlign w:val="center"/>
          </w:tcPr>
          <w:p>
            <w:pPr>
              <w:tabs>
                <w:tab w:val="left" w:pos="7020"/>
              </w:tabs>
              <w:ind w:right="79" w:rightChars="33"/>
              <w:jc w:val="center"/>
              <w:rPr>
                <w:sz w:val="21"/>
                <w:szCs w:val="21"/>
              </w:rPr>
            </w:pPr>
            <w:r>
              <w:rPr>
                <w:sz w:val="21"/>
                <w:szCs w:val="21"/>
              </w:rPr>
              <w:t>编码</w:t>
            </w:r>
          </w:p>
        </w:tc>
        <w:tc>
          <w:tcPr>
            <w:tcW w:w="1682" w:type="dxa"/>
            <w:vAlign w:val="center"/>
          </w:tcPr>
          <w:p>
            <w:pPr>
              <w:tabs>
                <w:tab w:val="left" w:pos="7020"/>
              </w:tabs>
              <w:ind w:right="79" w:rightChars="33"/>
              <w:jc w:val="center"/>
              <w:rPr>
                <w:sz w:val="21"/>
                <w:szCs w:val="21"/>
              </w:rPr>
            </w:pPr>
            <w:r>
              <w:rPr>
                <w:sz w:val="21"/>
                <w:szCs w:val="21"/>
              </w:rPr>
              <w:t>名称</w:t>
            </w:r>
          </w:p>
        </w:tc>
        <w:tc>
          <w:tcPr>
            <w:tcW w:w="1700" w:type="dxa"/>
            <w:vMerge w:val="continue"/>
            <w:vAlign w:val="center"/>
          </w:tcPr>
          <w:p>
            <w:pPr>
              <w:jc w:val="center"/>
              <w:rPr>
                <w:sz w:val="21"/>
                <w:szCs w:val="21"/>
              </w:rPr>
            </w:pPr>
          </w:p>
        </w:tc>
        <w:tc>
          <w:tcPr>
            <w:tcW w:w="1615" w:type="dxa"/>
            <w:vMerge w:val="continue"/>
            <w:vAlign w:val="center"/>
          </w:tcPr>
          <w:p>
            <w:pPr>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trPr>
        <w:tc>
          <w:tcPr>
            <w:tcW w:w="816" w:type="dxa"/>
            <w:tcBorders>
              <w:bottom w:val="single" w:color="auto" w:sz="4" w:space="0"/>
            </w:tcBorders>
            <w:vAlign w:val="center"/>
          </w:tcPr>
          <w:p>
            <w:pPr>
              <w:tabs>
                <w:tab w:val="left" w:pos="7020"/>
              </w:tabs>
              <w:ind w:right="79" w:rightChars="33"/>
              <w:jc w:val="center"/>
              <w:rPr>
                <w:sz w:val="21"/>
                <w:szCs w:val="21"/>
              </w:rPr>
            </w:pPr>
            <w:r>
              <w:rPr>
                <w:sz w:val="21"/>
                <w:szCs w:val="21"/>
              </w:rPr>
              <w:t>01</w:t>
            </w:r>
          </w:p>
        </w:tc>
        <w:tc>
          <w:tcPr>
            <w:tcW w:w="2000" w:type="dxa"/>
            <w:tcBorders>
              <w:bottom w:val="single" w:color="auto" w:sz="4" w:space="0"/>
            </w:tcBorders>
            <w:vAlign w:val="center"/>
          </w:tcPr>
          <w:p>
            <w:pPr>
              <w:tabs>
                <w:tab w:val="left" w:pos="7020"/>
              </w:tabs>
              <w:ind w:right="79" w:rightChars="33"/>
              <w:jc w:val="center"/>
              <w:rPr>
                <w:sz w:val="21"/>
                <w:szCs w:val="21"/>
              </w:rPr>
            </w:pPr>
            <w:r>
              <w:rPr>
                <w:sz w:val="21"/>
                <w:szCs w:val="21"/>
              </w:rPr>
              <w:t>耕地</w:t>
            </w:r>
          </w:p>
        </w:tc>
        <w:tc>
          <w:tcPr>
            <w:tcW w:w="709" w:type="dxa"/>
            <w:vAlign w:val="center"/>
          </w:tcPr>
          <w:p>
            <w:pPr>
              <w:tabs>
                <w:tab w:val="left" w:pos="7020"/>
              </w:tabs>
              <w:ind w:right="79" w:rightChars="33"/>
              <w:jc w:val="center"/>
              <w:rPr>
                <w:sz w:val="21"/>
                <w:szCs w:val="21"/>
              </w:rPr>
            </w:pPr>
            <w:r>
              <w:rPr>
                <w:sz w:val="21"/>
                <w:szCs w:val="21"/>
              </w:rPr>
              <w:t>013</w:t>
            </w:r>
          </w:p>
        </w:tc>
        <w:tc>
          <w:tcPr>
            <w:tcW w:w="1682" w:type="dxa"/>
            <w:vAlign w:val="center"/>
          </w:tcPr>
          <w:p>
            <w:pPr>
              <w:tabs>
                <w:tab w:val="left" w:pos="7020"/>
              </w:tabs>
              <w:ind w:right="79" w:rightChars="33"/>
              <w:jc w:val="center"/>
              <w:rPr>
                <w:sz w:val="21"/>
                <w:szCs w:val="21"/>
              </w:rPr>
            </w:pPr>
            <w:r>
              <w:rPr>
                <w:sz w:val="21"/>
                <w:szCs w:val="21"/>
              </w:rPr>
              <w:t>旱地</w:t>
            </w:r>
          </w:p>
        </w:tc>
        <w:tc>
          <w:tcPr>
            <w:tcW w:w="1700" w:type="dxa"/>
            <w:vAlign w:val="center"/>
          </w:tcPr>
          <w:p>
            <w:pPr>
              <w:jc w:val="center"/>
              <w:rPr>
                <w:sz w:val="21"/>
                <w:szCs w:val="21"/>
              </w:rPr>
            </w:pPr>
            <w:r>
              <w:rPr>
                <w:sz w:val="21"/>
                <w:szCs w:val="21"/>
              </w:rPr>
              <w:t>1.3475</w:t>
            </w:r>
          </w:p>
        </w:tc>
        <w:tc>
          <w:tcPr>
            <w:tcW w:w="1615" w:type="dxa"/>
            <w:vAlign w:val="center"/>
          </w:tcPr>
          <w:p>
            <w:pPr>
              <w:jc w:val="center"/>
              <w:rPr>
                <w:sz w:val="21"/>
                <w:szCs w:val="21"/>
              </w:rPr>
            </w:pPr>
            <w:r>
              <w:rPr>
                <w:sz w:val="21"/>
                <w:szCs w:val="21"/>
              </w:rPr>
              <w:t>12.76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trPr>
        <w:tc>
          <w:tcPr>
            <w:tcW w:w="816" w:type="dxa"/>
            <w:tcBorders>
              <w:bottom w:val="single" w:color="auto" w:sz="4" w:space="0"/>
            </w:tcBorders>
            <w:vAlign w:val="center"/>
          </w:tcPr>
          <w:p>
            <w:pPr>
              <w:tabs>
                <w:tab w:val="left" w:pos="7020"/>
              </w:tabs>
              <w:ind w:right="79" w:rightChars="33"/>
              <w:jc w:val="center"/>
              <w:rPr>
                <w:sz w:val="21"/>
                <w:szCs w:val="21"/>
              </w:rPr>
            </w:pPr>
            <w:r>
              <w:rPr>
                <w:sz w:val="21"/>
                <w:szCs w:val="21"/>
              </w:rPr>
              <w:t>04</w:t>
            </w:r>
          </w:p>
        </w:tc>
        <w:tc>
          <w:tcPr>
            <w:tcW w:w="2000" w:type="dxa"/>
            <w:tcBorders>
              <w:bottom w:val="single" w:color="auto" w:sz="4" w:space="0"/>
            </w:tcBorders>
            <w:vAlign w:val="center"/>
          </w:tcPr>
          <w:p>
            <w:pPr>
              <w:tabs>
                <w:tab w:val="left" w:pos="7020"/>
              </w:tabs>
              <w:ind w:right="79" w:rightChars="33"/>
              <w:jc w:val="center"/>
              <w:rPr>
                <w:sz w:val="21"/>
                <w:szCs w:val="21"/>
              </w:rPr>
            </w:pPr>
            <w:r>
              <w:rPr>
                <w:sz w:val="21"/>
                <w:szCs w:val="21"/>
              </w:rPr>
              <w:t>草地</w:t>
            </w:r>
          </w:p>
        </w:tc>
        <w:tc>
          <w:tcPr>
            <w:tcW w:w="709" w:type="dxa"/>
            <w:vAlign w:val="center"/>
          </w:tcPr>
          <w:p>
            <w:pPr>
              <w:tabs>
                <w:tab w:val="left" w:pos="7020"/>
              </w:tabs>
              <w:ind w:right="79" w:rightChars="33"/>
              <w:jc w:val="center"/>
              <w:rPr>
                <w:sz w:val="21"/>
                <w:szCs w:val="21"/>
              </w:rPr>
            </w:pPr>
            <w:r>
              <w:rPr>
                <w:sz w:val="21"/>
                <w:szCs w:val="21"/>
              </w:rPr>
              <w:t>043</w:t>
            </w:r>
          </w:p>
        </w:tc>
        <w:tc>
          <w:tcPr>
            <w:tcW w:w="1682" w:type="dxa"/>
            <w:vAlign w:val="center"/>
          </w:tcPr>
          <w:p>
            <w:pPr>
              <w:tabs>
                <w:tab w:val="left" w:pos="7020"/>
              </w:tabs>
              <w:ind w:right="79" w:rightChars="33"/>
              <w:jc w:val="center"/>
              <w:rPr>
                <w:sz w:val="21"/>
                <w:szCs w:val="21"/>
              </w:rPr>
            </w:pPr>
            <w:r>
              <w:rPr>
                <w:sz w:val="21"/>
                <w:szCs w:val="21"/>
              </w:rPr>
              <w:t>其他草地</w:t>
            </w:r>
          </w:p>
        </w:tc>
        <w:tc>
          <w:tcPr>
            <w:tcW w:w="1700" w:type="dxa"/>
            <w:vAlign w:val="center"/>
          </w:tcPr>
          <w:p>
            <w:pPr>
              <w:jc w:val="center"/>
              <w:rPr>
                <w:sz w:val="21"/>
                <w:szCs w:val="21"/>
              </w:rPr>
            </w:pPr>
            <w:r>
              <w:rPr>
                <w:sz w:val="21"/>
                <w:szCs w:val="21"/>
              </w:rPr>
              <w:t>8.1269</w:t>
            </w:r>
          </w:p>
        </w:tc>
        <w:tc>
          <w:tcPr>
            <w:tcW w:w="1615" w:type="dxa"/>
            <w:vAlign w:val="center"/>
          </w:tcPr>
          <w:p>
            <w:pPr>
              <w:jc w:val="center"/>
              <w:rPr>
                <w:sz w:val="21"/>
                <w:szCs w:val="21"/>
              </w:rPr>
            </w:pPr>
            <w:r>
              <w:rPr>
                <w:sz w:val="21"/>
                <w:szCs w:val="21"/>
              </w:rPr>
              <w:t>76.94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trPr>
        <w:tc>
          <w:tcPr>
            <w:tcW w:w="816" w:type="dxa"/>
            <w:tcBorders>
              <w:bottom w:val="single" w:color="auto" w:sz="4" w:space="0"/>
            </w:tcBorders>
            <w:vAlign w:val="center"/>
          </w:tcPr>
          <w:p>
            <w:pPr>
              <w:jc w:val="center"/>
              <w:rPr>
                <w:sz w:val="21"/>
                <w:szCs w:val="21"/>
              </w:rPr>
            </w:pPr>
            <w:r>
              <w:rPr>
                <w:sz w:val="21"/>
                <w:szCs w:val="21"/>
              </w:rPr>
              <w:t>11</w:t>
            </w:r>
          </w:p>
        </w:tc>
        <w:tc>
          <w:tcPr>
            <w:tcW w:w="2000" w:type="dxa"/>
            <w:tcBorders>
              <w:bottom w:val="single" w:color="auto" w:sz="4" w:space="0"/>
            </w:tcBorders>
            <w:vAlign w:val="center"/>
          </w:tcPr>
          <w:p>
            <w:pPr>
              <w:jc w:val="center"/>
              <w:rPr>
                <w:sz w:val="18"/>
                <w:szCs w:val="18"/>
              </w:rPr>
            </w:pPr>
            <w:r>
              <w:rPr>
                <w:kern w:val="0"/>
                <w:sz w:val="18"/>
                <w:szCs w:val="18"/>
              </w:rPr>
              <w:t>水域及水利设施用地</w:t>
            </w:r>
          </w:p>
        </w:tc>
        <w:tc>
          <w:tcPr>
            <w:tcW w:w="709" w:type="dxa"/>
            <w:vAlign w:val="center"/>
          </w:tcPr>
          <w:p>
            <w:pPr>
              <w:jc w:val="center"/>
              <w:rPr>
                <w:sz w:val="21"/>
                <w:szCs w:val="21"/>
              </w:rPr>
            </w:pPr>
            <w:r>
              <w:rPr>
                <w:sz w:val="21"/>
                <w:szCs w:val="21"/>
              </w:rPr>
              <w:t>116</w:t>
            </w:r>
          </w:p>
        </w:tc>
        <w:tc>
          <w:tcPr>
            <w:tcW w:w="1682" w:type="dxa"/>
            <w:vAlign w:val="center"/>
          </w:tcPr>
          <w:p>
            <w:pPr>
              <w:jc w:val="center"/>
              <w:rPr>
                <w:sz w:val="21"/>
                <w:szCs w:val="21"/>
              </w:rPr>
            </w:pPr>
            <w:r>
              <w:rPr>
                <w:sz w:val="21"/>
                <w:szCs w:val="21"/>
              </w:rPr>
              <w:t>内陆滩涂</w:t>
            </w:r>
          </w:p>
        </w:tc>
        <w:tc>
          <w:tcPr>
            <w:tcW w:w="1700" w:type="dxa"/>
            <w:vAlign w:val="center"/>
          </w:tcPr>
          <w:p>
            <w:pPr>
              <w:jc w:val="center"/>
              <w:rPr>
                <w:sz w:val="21"/>
                <w:szCs w:val="21"/>
              </w:rPr>
            </w:pPr>
            <w:r>
              <w:rPr>
                <w:sz w:val="21"/>
                <w:szCs w:val="21"/>
              </w:rPr>
              <w:t>1.0850</w:t>
            </w:r>
          </w:p>
        </w:tc>
        <w:tc>
          <w:tcPr>
            <w:tcW w:w="1615" w:type="dxa"/>
            <w:vAlign w:val="center"/>
          </w:tcPr>
          <w:p>
            <w:pPr>
              <w:jc w:val="center"/>
              <w:rPr>
                <w:sz w:val="21"/>
                <w:szCs w:val="21"/>
              </w:rPr>
            </w:pPr>
            <w:r>
              <w:rPr>
                <w:sz w:val="21"/>
                <w:szCs w:val="21"/>
              </w:rPr>
              <w:t>10.30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207" w:type="dxa"/>
            <w:gridSpan w:val="4"/>
            <w:vAlign w:val="center"/>
          </w:tcPr>
          <w:p>
            <w:pPr>
              <w:jc w:val="center"/>
              <w:rPr>
                <w:sz w:val="21"/>
                <w:szCs w:val="21"/>
              </w:rPr>
            </w:pPr>
            <w:r>
              <w:rPr>
                <w:sz w:val="21"/>
                <w:szCs w:val="21"/>
              </w:rPr>
              <w:t>合计</w:t>
            </w:r>
          </w:p>
        </w:tc>
        <w:tc>
          <w:tcPr>
            <w:tcW w:w="1700" w:type="dxa"/>
            <w:vAlign w:val="center"/>
          </w:tcPr>
          <w:p>
            <w:pPr>
              <w:jc w:val="center"/>
              <w:rPr>
                <w:sz w:val="21"/>
                <w:szCs w:val="21"/>
              </w:rPr>
            </w:pPr>
            <w:r>
              <w:rPr>
                <w:sz w:val="21"/>
                <w:szCs w:val="21"/>
              </w:rPr>
              <w:fldChar w:fldCharType="begin"/>
            </w:r>
            <w:r>
              <w:rPr>
                <w:sz w:val="21"/>
                <w:szCs w:val="21"/>
              </w:rPr>
              <w:instrText xml:space="preserve"> =SUM(ABOVE) </w:instrText>
            </w:r>
            <w:r>
              <w:rPr>
                <w:sz w:val="21"/>
                <w:szCs w:val="21"/>
              </w:rPr>
              <w:fldChar w:fldCharType="separate"/>
            </w:r>
            <w:r>
              <w:rPr>
                <w:sz w:val="21"/>
                <w:szCs w:val="21"/>
              </w:rPr>
              <w:t>10.5594</w:t>
            </w:r>
            <w:r>
              <w:rPr>
                <w:sz w:val="21"/>
                <w:szCs w:val="21"/>
              </w:rPr>
              <w:fldChar w:fldCharType="end"/>
            </w:r>
          </w:p>
        </w:tc>
        <w:tc>
          <w:tcPr>
            <w:tcW w:w="1615" w:type="dxa"/>
            <w:vAlign w:val="center"/>
          </w:tcPr>
          <w:p>
            <w:pPr>
              <w:jc w:val="center"/>
              <w:rPr>
                <w:sz w:val="21"/>
                <w:szCs w:val="21"/>
              </w:rPr>
            </w:pPr>
            <w:r>
              <w:rPr>
                <w:sz w:val="21"/>
                <w:szCs w:val="21"/>
              </w:rPr>
              <w:fldChar w:fldCharType="begin"/>
            </w:r>
            <w:r>
              <w:rPr>
                <w:sz w:val="21"/>
                <w:szCs w:val="21"/>
              </w:rPr>
              <w:instrText xml:space="preserve"> =SUM(ABOVE) </w:instrText>
            </w:r>
            <w:r>
              <w:rPr>
                <w:sz w:val="21"/>
                <w:szCs w:val="21"/>
              </w:rPr>
              <w:fldChar w:fldCharType="separate"/>
            </w:r>
            <w:r>
              <w:rPr>
                <w:sz w:val="21"/>
                <w:szCs w:val="21"/>
              </w:rPr>
              <w:t>100</w:t>
            </w:r>
            <w:r>
              <w:rPr>
                <w:sz w:val="21"/>
                <w:szCs w:val="21"/>
              </w:rPr>
              <w:fldChar w:fldCharType="end"/>
            </w:r>
            <w:r>
              <w:rPr>
                <w:sz w:val="21"/>
                <w:szCs w:val="21"/>
              </w:rPr>
              <w:t>.00</w:t>
            </w:r>
          </w:p>
        </w:tc>
      </w:tr>
    </w:tbl>
    <w:p>
      <w:pPr>
        <w:pStyle w:val="28"/>
        <w:spacing w:line="240" w:lineRule="auto"/>
        <w:jc w:val="center"/>
        <w:rPr>
          <w:rFonts w:ascii="Times New Roman" w:hAnsi="Times New Roman" w:cs="Times New Roman"/>
        </w:rPr>
      </w:pPr>
      <w:r>
        <w:rPr>
          <w:rFonts w:ascii="Times New Roman" w:hAnsi="Times New Roman" w:cs="Times New Roman"/>
        </w:rPr>
        <w:drawing>
          <wp:inline distT="0" distB="0" distL="0" distR="0">
            <wp:extent cx="5274310" cy="6293485"/>
            <wp:effectExtent l="19050" t="0" r="2540" b="0"/>
            <wp:docPr id="9" name="图片 8" descr="土地利用现状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descr="土地利用现状图.JPG"/>
                    <pic:cNvPicPr>
                      <a:picLocks noChangeAspect="1"/>
                    </pic:cNvPicPr>
                  </pic:nvPicPr>
                  <pic:blipFill>
                    <a:blip r:embed="rId17" cstate="print"/>
                    <a:stretch>
                      <a:fillRect/>
                    </a:stretch>
                  </pic:blipFill>
                  <pic:spPr>
                    <a:xfrm>
                      <a:off x="0" y="0"/>
                      <a:ext cx="5274310" cy="6293485"/>
                    </a:xfrm>
                    <a:prstGeom prst="rect">
                      <a:avLst/>
                    </a:prstGeom>
                  </pic:spPr>
                </pic:pic>
              </a:graphicData>
            </a:graphic>
          </wp:inline>
        </w:drawing>
      </w:r>
    </w:p>
    <w:p>
      <w:pPr>
        <w:pStyle w:val="28"/>
        <w:jc w:val="center"/>
        <w:rPr>
          <w:rFonts w:ascii="Times New Roman" w:hAnsi="Times New Roman" w:cs="Times New Roman"/>
        </w:rPr>
      </w:pPr>
      <w:r>
        <w:rPr>
          <w:rFonts w:ascii="Times New Roman" w:hAnsi="Times New Roman" w:cs="Times New Roman"/>
          <w:b/>
          <w:bCs/>
        </w:rPr>
        <w:t>图3-4   五台县安顺源石料有限公司土地利用现状图</w:t>
      </w:r>
    </w:p>
    <w:p>
      <w:pPr>
        <w:widowControl/>
        <w:ind w:firstLine="482" w:firstLineChars="200"/>
        <w:jc w:val="left"/>
        <w:rPr>
          <w:rFonts w:ascii="Times New Roman" w:hAnsi="Times New Roman"/>
          <w:b/>
          <w:bCs/>
          <w:kern w:val="0"/>
          <w:szCs w:val="24"/>
        </w:rPr>
      </w:pPr>
      <w:r>
        <w:rPr>
          <w:rFonts w:ascii="Times New Roman" w:hAnsi="Times New Roman"/>
          <w:b/>
          <w:bCs/>
          <w:szCs w:val="24"/>
        </w:rPr>
        <w:t>（2）</w:t>
      </w:r>
      <w:r>
        <w:rPr>
          <w:rFonts w:ascii="Times New Roman" w:hAnsi="Times New Roman"/>
          <w:b/>
          <w:bCs/>
          <w:kern w:val="0"/>
          <w:szCs w:val="24"/>
        </w:rPr>
        <w:t>生态系统现状调查</w:t>
      </w:r>
    </w:p>
    <w:p>
      <w:pPr>
        <w:pStyle w:val="28"/>
        <w:ind w:firstLine="480" w:firstLineChars="200"/>
        <w:rPr>
          <w:rFonts w:ascii="Times New Roman" w:hAnsi="Times New Roman" w:cs="Times New Roman"/>
        </w:rPr>
      </w:pPr>
      <w:r>
        <w:rPr>
          <w:rFonts w:ascii="Times New Roman" w:hAnsi="Times New Roman" w:cs="Times New Roman"/>
        </w:rPr>
        <w:t>根据资料调查</w:t>
      </w:r>
      <w:r>
        <w:rPr>
          <w:rFonts w:hint="eastAsia" w:ascii="Times New Roman" w:hAnsi="Times New Roman" w:cs="Times New Roman"/>
        </w:rPr>
        <w:t>，项目</w:t>
      </w:r>
      <w:r>
        <w:rPr>
          <w:rFonts w:ascii="Times New Roman" w:hAnsi="Times New Roman" w:cs="Times New Roman"/>
        </w:rPr>
        <w:t>区共有</w:t>
      </w:r>
      <w:r>
        <w:rPr>
          <w:rFonts w:hint="eastAsia" w:ascii="Times New Roman" w:hAnsi="Times New Roman" w:cs="Times New Roman"/>
        </w:rPr>
        <w:t>3</w:t>
      </w:r>
      <w:r>
        <w:rPr>
          <w:rFonts w:ascii="Times New Roman" w:hAnsi="Times New Roman" w:cs="Times New Roman"/>
        </w:rPr>
        <w:t>个生态系统模型。其中以草原生态系统为主，分布广泛、遍布全区，其次为农业生态系统，分布于农田之间的山坡、荒坡中</w:t>
      </w:r>
      <w:r>
        <w:rPr>
          <w:rFonts w:hint="eastAsia" w:ascii="Times New Roman" w:hAnsi="Times New Roman" w:cs="Times New Roman"/>
        </w:rPr>
        <w:t>；</w:t>
      </w:r>
      <w:r>
        <w:rPr>
          <w:rFonts w:ascii="Times New Roman" w:hAnsi="Times New Roman" w:cs="Times New Roman"/>
        </w:rPr>
        <w:t>河流生态系统</w:t>
      </w:r>
      <w:r>
        <w:rPr>
          <w:rFonts w:hint="eastAsia" w:ascii="Times New Roman" w:hAnsi="Times New Roman" w:cs="Times New Roman"/>
        </w:rPr>
        <w:t>，</w:t>
      </w:r>
      <w:r>
        <w:rPr>
          <w:rFonts w:ascii="Times New Roman" w:hAnsi="Times New Roman" w:cs="Times New Roman"/>
        </w:rPr>
        <w:t>分布在项目区西部。整个区域生态环境较好。调查范围内生态系统类型特征见表3-</w:t>
      </w:r>
      <w:r>
        <w:rPr>
          <w:rFonts w:hint="eastAsia" w:ascii="Times New Roman" w:hAnsi="Times New Roman" w:cs="Times New Roman"/>
        </w:rPr>
        <w:t>2</w:t>
      </w:r>
      <w:r>
        <w:rPr>
          <w:rFonts w:ascii="Times New Roman" w:hAnsi="Times New Roman" w:cs="Times New Roman"/>
        </w:rPr>
        <w:t>。</w:t>
      </w:r>
    </w:p>
    <w:p>
      <w:pPr>
        <w:pStyle w:val="28"/>
        <w:ind w:firstLine="480" w:firstLineChars="200"/>
        <w:rPr>
          <w:rFonts w:ascii="Times New Roman" w:hAnsi="Times New Roman" w:cs="Times New Roman"/>
        </w:rPr>
      </w:pPr>
    </w:p>
    <w:p>
      <w:pPr>
        <w:pStyle w:val="28"/>
        <w:jc w:val="center"/>
        <w:rPr>
          <w:rFonts w:ascii="Times New Roman" w:hAnsi="Times New Roman" w:cs="Times New Roman"/>
          <w:b/>
          <w:bCs/>
        </w:rPr>
      </w:pPr>
      <w:r>
        <w:rPr>
          <w:rFonts w:ascii="Times New Roman" w:hAnsi="Times New Roman" w:cs="Times New Roman"/>
          <w:b/>
          <w:bCs/>
        </w:rPr>
        <w:t>表3-</w:t>
      </w:r>
      <w:r>
        <w:rPr>
          <w:rFonts w:hint="eastAsia" w:ascii="Times New Roman" w:hAnsi="Times New Roman" w:cs="Times New Roman"/>
          <w:b/>
          <w:bCs/>
        </w:rPr>
        <w:t>2</w:t>
      </w:r>
      <w:r>
        <w:rPr>
          <w:rFonts w:ascii="Times New Roman" w:hAnsi="Times New Roman" w:cs="Times New Roman"/>
          <w:b/>
          <w:bCs/>
        </w:rPr>
        <w:t xml:space="preserve">    调查范围内生态系统类型</w:t>
      </w:r>
    </w:p>
    <w:tbl>
      <w:tblPr>
        <w:tblStyle w:val="2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4"/>
        <w:gridCol w:w="1836"/>
        <w:gridCol w:w="2952"/>
        <w:gridCol w:w="26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4" w:type="dxa"/>
            <w:vAlign w:val="center"/>
          </w:tcPr>
          <w:p>
            <w:pPr>
              <w:widowControl/>
              <w:ind w:firstLine="210" w:firstLineChars="100"/>
              <w:jc w:val="center"/>
              <w:rPr>
                <w:rFonts w:ascii="Times New Roman" w:hAnsi="Times New Roman"/>
                <w:kern w:val="0"/>
                <w:sz w:val="21"/>
                <w:szCs w:val="21"/>
              </w:rPr>
            </w:pPr>
            <w:r>
              <w:rPr>
                <w:rFonts w:ascii="Times New Roman" w:hAnsi="Times New Roman"/>
                <w:kern w:val="0"/>
                <w:sz w:val="21"/>
                <w:szCs w:val="21"/>
              </w:rPr>
              <w:t>序号</w:t>
            </w:r>
          </w:p>
        </w:tc>
        <w:tc>
          <w:tcPr>
            <w:tcW w:w="1836" w:type="dxa"/>
            <w:vAlign w:val="center"/>
          </w:tcPr>
          <w:p>
            <w:pPr>
              <w:widowControl/>
              <w:jc w:val="center"/>
              <w:rPr>
                <w:rFonts w:ascii="Times New Roman" w:hAnsi="Times New Roman"/>
                <w:kern w:val="0"/>
                <w:sz w:val="21"/>
                <w:szCs w:val="21"/>
              </w:rPr>
            </w:pPr>
            <w:r>
              <w:rPr>
                <w:rFonts w:ascii="Times New Roman" w:hAnsi="Times New Roman"/>
                <w:kern w:val="0"/>
                <w:sz w:val="21"/>
                <w:szCs w:val="21"/>
              </w:rPr>
              <w:t>生态系统类型</w:t>
            </w:r>
          </w:p>
        </w:tc>
        <w:tc>
          <w:tcPr>
            <w:tcW w:w="2952" w:type="dxa"/>
            <w:vAlign w:val="center"/>
          </w:tcPr>
          <w:p>
            <w:pPr>
              <w:widowControl/>
              <w:jc w:val="center"/>
              <w:rPr>
                <w:rFonts w:ascii="Times New Roman" w:hAnsi="Times New Roman"/>
                <w:kern w:val="0"/>
                <w:sz w:val="21"/>
                <w:szCs w:val="21"/>
              </w:rPr>
            </w:pPr>
            <w:r>
              <w:rPr>
                <w:rFonts w:ascii="Times New Roman" w:hAnsi="Times New Roman"/>
                <w:kern w:val="0"/>
                <w:sz w:val="21"/>
                <w:szCs w:val="21"/>
              </w:rPr>
              <w:t>主要物种</w:t>
            </w:r>
          </w:p>
        </w:tc>
        <w:tc>
          <w:tcPr>
            <w:tcW w:w="2610" w:type="dxa"/>
            <w:vAlign w:val="center"/>
          </w:tcPr>
          <w:p>
            <w:pPr>
              <w:widowControl/>
              <w:jc w:val="center"/>
              <w:rPr>
                <w:rFonts w:ascii="Times New Roman" w:hAnsi="Times New Roman"/>
                <w:kern w:val="0"/>
                <w:sz w:val="21"/>
                <w:szCs w:val="21"/>
              </w:rPr>
            </w:pPr>
            <w:r>
              <w:rPr>
                <w:rFonts w:ascii="Times New Roman" w:hAnsi="Times New Roman"/>
                <w:kern w:val="0"/>
                <w:sz w:val="21"/>
                <w:szCs w:val="21"/>
              </w:rPr>
              <w:t>分布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4" w:type="dxa"/>
            <w:vAlign w:val="center"/>
          </w:tcPr>
          <w:p>
            <w:pPr>
              <w:widowControl/>
              <w:jc w:val="center"/>
              <w:rPr>
                <w:rFonts w:ascii="Times New Roman" w:hAnsi="Times New Roman"/>
                <w:kern w:val="0"/>
                <w:sz w:val="21"/>
                <w:szCs w:val="21"/>
              </w:rPr>
            </w:pPr>
            <w:r>
              <w:rPr>
                <w:rFonts w:ascii="Times New Roman" w:hAnsi="Times New Roman"/>
                <w:kern w:val="0"/>
                <w:sz w:val="21"/>
                <w:szCs w:val="21"/>
              </w:rPr>
              <w:t>1</w:t>
            </w:r>
          </w:p>
        </w:tc>
        <w:tc>
          <w:tcPr>
            <w:tcW w:w="1836" w:type="dxa"/>
            <w:vAlign w:val="center"/>
          </w:tcPr>
          <w:p>
            <w:pPr>
              <w:widowControl/>
              <w:jc w:val="center"/>
              <w:rPr>
                <w:rFonts w:ascii="Times New Roman" w:hAnsi="Times New Roman"/>
                <w:kern w:val="0"/>
                <w:sz w:val="21"/>
                <w:szCs w:val="21"/>
              </w:rPr>
            </w:pPr>
            <w:r>
              <w:rPr>
                <w:rFonts w:ascii="Times New Roman" w:hAnsi="Times New Roman"/>
                <w:kern w:val="0"/>
                <w:sz w:val="21"/>
                <w:szCs w:val="21"/>
              </w:rPr>
              <w:t>农业生态系统</w:t>
            </w:r>
          </w:p>
        </w:tc>
        <w:tc>
          <w:tcPr>
            <w:tcW w:w="2952" w:type="dxa"/>
            <w:vAlign w:val="center"/>
          </w:tcPr>
          <w:p>
            <w:pPr>
              <w:widowControl/>
              <w:jc w:val="center"/>
              <w:rPr>
                <w:rFonts w:ascii="Times New Roman" w:hAnsi="Times New Roman"/>
                <w:kern w:val="0"/>
                <w:sz w:val="21"/>
                <w:szCs w:val="21"/>
              </w:rPr>
            </w:pPr>
            <w:r>
              <w:rPr>
                <w:rFonts w:ascii="Times New Roman" w:hAnsi="Times New Roman"/>
                <w:kern w:val="0"/>
                <w:sz w:val="21"/>
                <w:szCs w:val="21"/>
              </w:rPr>
              <w:t>玉米、谷子、豆类等</w:t>
            </w:r>
          </w:p>
        </w:tc>
        <w:tc>
          <w:tcPr>
            <w:tcW w:w="2610" w:type="dxa"/>
            <w:vAlign w:val="center"/>
          </w:tcPr>
          <w:p>
            <w:pPr>
              <w:widowControl/>
              <w:jc w:val="center"/>
              <w:rPr>
                <w:rFonts w:ascii="Times New Roman" w:hAnsi="Times New Roman"/>
                <w:kern w:val="0"/>
                <w:sz w:val="21"/>
                <w:szCs w:val="21"/>
              </w:rPr>
            </w:pPr>
            <w:r>
              <w:rPr>
                <w:rFonts w:ascii="Times New Roman" w:hAnsi="Times New Roman"/>
                <w:kern w:val="0"/>
                <w:sz w:val="21"/>
                <w:szCs w:val="21"/>
              </w:rPr>
              <w:t>分布于矿区各地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4" w:type="dxa"/>
            <w:vAlign w:val="center"/>
          </w:tcPr>
          <w:p>
            <w:pPr>
              <w:widowControl/>
              <w:jc w:val="center"/>
              <w:rPr>
                <w:rFonts w:ascii="Times New Roman" w:hAnsi="Times New Roman"/>
                <w:kern w:val="0"/>
                <w:sz w:val="21"/>
                <w:szCs w:val="21"/>
              </w:rPr>
            </w:pPr>
            <w:r>
              <w:rPr>
                <w:rFonts w:ascii="Times New Roman" w:hAnsi="Times New Roman"/>
                <w:kern w:val="0"/>
                <w:sz w:val="21"/>
                <w:szCs w:val="21"/>
              </w:rPr>
              <w:t>2</w:t>
            </w:r>
          </w:p>
        </w:tc>
        <w:tc>
          <w:tcPr>
            <w:tcW w:w="1836" w:type="dxa"/>
            <w:vAlign w:val="center"/>
          </w:tcPr>
          <w:p>
            <w:pPr>
              <w:widowControl/>
              <w:jc w:val="center"/>
              <w:rPr>
                <w:rFonts w:ascii="Times New Roman" w:hAnsi="Times New Roman"/>
                <w:kern w:val="0"/>
                <w:sz w:val="21"/>
                <w:szCs w:val="21"/>
              </w:rPr>
            </w:pPr>
            <w:r>
              <w:rPr>
                <w:rFonts w:ascii="Times New Roman" w:hAnsi="Times New Roman"/>
                <w:kern w:val="0"/>
                <w:sz w:val="21"/>
                <w:szCs w:val="21"/>
              </w:rPr>
              <w:t>草原生态系统</w:t>
            </w:r>
          </w:p>
        </w:tc>
        <w:tc>
          <w:tcPr>
            <w:tcW w:w="2952" w:type="dxa"/>
            <w:vAlign w:val="center"/>
          </w:tcPr>
          <w:p>
            <w:pPr>
              <w:widowControl/>
              <w:jc w:val="center"/>
              <w:rPr>
                <w:rFonts w:ascii="Times New Roman" w:hAnsi="Times New Roman"/>
                <w:kern w:val="0"/>
                <w:sz w:val="21"/>
                <w:szCs w:val="21"/>
              </w:rPr>
            </w:pPr>
            <w:r>
              <w:rPr>
                <w:rFonts w:ascii="Times New Roman" w:hAnsi="Times New Roman"/>
                <w:kern w:val="0"/>
                <w:sz w:val="21"/>
                <w:szCs w:val="21"/>
              </w:rPr>
              <w:t>白羊草等</w:t>
            </w:r>
          </w:p>
        </w:tc>
        <w:tc>
          <w:tcPr>
            <w:tcW w:w="2610" w:type="dxa"/>
            <w:vAlign w:val="center"/>
          </w:tcPr>
          <w:p>
            <w:pPr>
              <w:widowControl/>
              <w:jc w:val="center"/>
              <w:rPr>
                <w:rFonts w:ascii="Times New Roman" w:hAnsi="Times New Roman"/>
                <w:kern w:val="0"/>
                <w:sz w:val="21"/>
                <w:szCs w:val="21"/>
              </w:rPr>
            </w:pPr>
            <w:r>
              <w:rPr>
                <w:rFonts w:ascii="Times New Roman" w:hAnsi="Times New Roman"/>
                <w:kern w:val="0"/>
                <w:sz w:val="21"/>
                <w:szCs w:val="21"/>
              </w:rPr>
              <w:t>呈斑块或关条状分布于农田之间及山坡、荒地中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24" w:type="dxa"/>
            <w:vAlign w:val="center"/>
          </w:tcPr>
          <w:p>
            <w:pPr>
              <w:widowControl/>
              <w:jc w:val="center"/>
              <w:rPr>
                <w:rFonts w:ascii="Times New Roman" w:hAnsi="Times New Roman"/>
                <w:kern w:val="0"/>
                <w:sz w:val="21"/>
                <w:szCs w:val="21"/>
              </w:rPr>
            </w:pPr>
            <w:r>
              <w:rPr>
                <w:rFonts w:ascii="Times New Roman" w:hAnsi="Times New Roman"/>
                <w:kern w:val="0"/>
                <w:sz w:val="21"/>
                <w:szCs w:val="21"/>
              </w:rPr>
              <w:t>3</w:t>
            </w:r>
          </w:p>
        </w:tc>
        <w:tc>
          <w:tcPr>
            <w:tcW w:w="1836" w:type="dxa"/>
            <w:vAlign w:val="center"/>
          </w:tcPr>
          <w:p>
            <w:pPr>
              <w:widowControl/>
              <w:jc w:val="center"/>
              <w:rPr>
                <w:rFonts w:ascii="Times New Roman" w:hAnsi="Times New Roman"/>
                <w:kern w:val="0"/>
                <w:sz w:val="21"/>
                <w:szCs w:val="21"/>
              </w:rPr>
            </w:pPr>
            <w:r>
              <w:rPr>
                <w:rFonts w:hint="eastAsia" w:ascii="Times New Roman" w:hAnsi="Times New Roman"/>
                <w:kern w:val="0"/>
                <w:sz w:val="21"/>
                <w:szCs w:val="21"/>
              </w:rPr>
              <w:t>河流</w:t>
            </w:r>
            <w:r>
              <w:rPr>
                <w:rFonts w:ascii="Times New Roman" w:hAnsi="Times New Roman"/>
                <w:kern w:val="0"/>
                <w:sz w:val="21"/>
                <w:szCs w:val="21"/>
              </w:rPr>
              <w:t>生态系统</w:t>
            </w:r>
          </w:p>
        </w:tc>
        <w:tc>
          <w:tcPr>
            <w:tcW w:w="2952" w:type="dxa"/>
            <w:vAlign w:val="center"/>
          </w:tcPr>
          <w:p>
            <w:pPr>
              <w:widowControl/>
              <w:jc w:val="center"/>
              <w:rPr>
                <w:rFonts w:ascii="Times New Roman" w:hAnsi="Times New Roman"/>
                <w:kern w:val="0"/>
                <w:sz w:val="21"/>
                <w:szCs w:val="21"/>
              </w:rPr>
            </w:pPr>
            <w:r>
              <w:rPr>
                <w:rFonts w:ascii="Times New Roman" w:hAnsi="Times New Roman"/>
                <w:kern w:val="0"/>
                <w:sz w:val="21"/>
                <w:szCs w:val="21"/>
              </w:rPr>
              <w:t>河虾</w:t>
            </w:r>
          </w:p>
        </w:tc>
        <w:tc>
          <w:tcPr>
            <w:tcW w:w="2610" w:type="dxa"/>
            <w:vAlign w:val="center"/>
          </w:tcPr>
          <w:p>
            <w:pPr>
              <w:widowControl/>
              <w:jc w:val="center"/>
              <w:rPr>
                <w:rFonts w:ascii="Times New Roman" w:hAnsi="Times New Roman"/>
                <w:kern w:val="0"/>
                <w:sz w:val="21"/>
                <w:szCs w:val="21"/>
              </w:rPr>
            </w:pPr>
            <w:r>
              <w:rPr>
                <w:rFonts w:ascii="Times New Roman" w:hAnsi="Times New Roman"/>
                <w:kern w:val="0"/>
                <w:sz w:val="21"/>
                <w:szCs w:val="21"/>
              </w:rPr>
              <w:t>项目区的西部</w:t>
            </w:r>
          </w:p>
        </w:tc>
      </w:tr>
    </w:tbl>
    <w:p>
      <w:pPr>
        <w:pStyle w:val="28"/>
        <w:spacing w:beforeLines="100"/>
        <w:rPr>
          <w:rFonts w:ascii="Times New Roman" w:hAnsi="Times New Roman" w:cs="Times New Roman"/>
          <w:b/>
          <w:bCs/>
        </w:rPr>
      </w:pPr>
      <w:r>
        <w:rPr>
          <w:rFonts w:ascii="Times New Roman" w:hAnsi="Times New Roman" w:cs="Times New Roman"/>
          <w:b/>
          <w:bCs/>
        </w:rPr>
        <w:t>3.3.3.2 生态功能调查</w:t>
      </w:r>
    </w:p>
    <w:p>
      <w:pPr>
        <w:pStyle w:val="28"/>
        <w:ind w:firstLine="480" w:firstLineChars="200"/>
        <w:rPr>
          <w:rFonts w:ascii="Times New Roman" w:hAnsi="Times New Roman" w:cs="Times New Roman"/>
          <w:color w:val="auto"/>
        </w:rPr>
      </w:pPr>
      <w:r>
        <w:rPr>
          <w:rFonts w:ascii="Times New Roman" w:hAnsi="Times New Roman" w:cs="Times New Roman"/>
          <w:color w:val="auto"/>
        </w:rPr>
        <w:t>根据忻州市生态功能区划、五台县生态功能区划得知：矿山位于忻州五台县</w:t>
      </w:r>
      <w:r>
        <w:rPr>
          <w:rFonts w:hint="eastAsia" w:ascii="Times New Roman" w:hAnsi="Times New Roman" w:cs="Times New Roman"/>
          <w:color w:val="auto"/>
        </w:rPr>
        <w:t>清水河</w:t>
      </w:r>
      <w:r>
        <w:rPr>
          <w:rFonts w:ascii="Times New Roman" w:hAnsi="Times New Roman" w:cs="Times New Roman"/>
          <w:color w:val="auto"/>
        </w:rPr>
        <w:t>流域营</w:t>
      </w:r>
      <w:r>
        <w:rPr>
          <w:rFonts w:hint="eastAsia" w:ascii="Times New Roman" w:hAnsi="Times New Roman" w:cs="Times New Roman"/>
          <w:color w:val="auto"/>
        </w:rPr>
        <w:t>养</w:t>
      </w:r>
      <w:r>
        <w:rPr>
          <w:rFonts w:ascii="Times New Roman" w:hAnsi="Times New Roman" w:cs="Times New Roman"/>
          <w:color w:val="auto"/>
        </w:rPr>
        <w:t>物质保持生态功能区。生境敏感性介于轻度敏感与高度敏感之间；生物多样性保护为中等重要到极重要；土壤侵蚀敏感性为中高性敏感，水源涵养重要性为中高等重要</w:t>
      </w:r>
      <w:r>
        <w:rPr>
          <w:rFonts w:hint="eastAsia" w:ascii="Times New Roman" w:hAnsi="Times New Roman" w:cs="Times New Roman"/>
          <w:color w:val="auto"/>
        </w:rPr>
        <w:t>；</w:t>
      </w:r>
      <w:r>
        <w:rPr>
          <w:rFonts w:ascii="Times New Roman" w:hAnsi="Times New Roman" w:cs="Times New Roman"/>
          <w:color w:val="auto"/>
        </w:rPr>
        <w:t>营养物质保持重要性为极重要。</w:t>
      </w:r>
    </w:p>
    <w:p>
      <w:pPr>
        <w:pStyle w:val="28"/>
        <w:rPr>
          <w:rFonts w:ascii="Times New Roman" w:hAnsi="Times New Roman" w:cs="Times New Roman"/>
        </w:rPr>
        <w:sectPr>
          <w:pgSz w:w="11906" w:h="16838"/>
          <w:pgMar w:top="1440" w:right="1800" w:bottom="1440" w:left="1800" w:header="851" w:footer="850" w:gutter="0"/>
          <w:cols w:space="425" w:num="1"/>
          <w:docGrid w:type="lines" w:linePitch="312" w:charSpace="0"/>
        </w:sectPr>
      </w:pPr>
    </w:p>
    <w:p>
      <w:pPr>
        <w:pStyle w:val="28"/>
        <w:spacing w:line="240" w:lineRule="auto"/>
        <w:jc w:val="center"/>
        <w:rPr>
          <w:rFonts w:ascii="Times New Roman" w:hAnsi="Times New Roman" w:cs="Times New Roman"/>
        </w:rPr>
      </w:pPr>
      <w:r>
        <w:rPr>
          <w:rFonts w:ascii="Times New Roman" w:hAnsi="Times New Roman" w:cs="Times New Roman"/>
        </w:rPr>
        <w:pict>
          <v:group id="组合 10" o:spid="_x0000_s1062" o:spt="203" style="position:absolute;left:0pt;margin-left:515.8pt;margin-top:213.1pt;height:24pt;width:100pt;z-index:251668480;mso-width-relative:margin;mso-height-relative:margin;" coordorigin="11687,177739" coordsize="2000,480203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">
            <o:lock v:ext="edit"/>
            <v:shape id="五角星 4" o:spid="_x0000_s1063" style="position:absolute;left:11687;top:177768;height:120;width:120;v-text-anchor:middle;" fillcolor="#FF0000" filled="t" stroked="t" coordsize="10000,1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" path="m0,3833l3833,3833,5000,0,6167,3833,10000,3833,6917,6167,8083,10000,5000,7667,1917,10000,3083,6167,0,3833xe">
              <v:path arrowok="t" o:connecttype="custom" o:connectlocs="0,46;46,46;60,0;74,46;120,46;83,74;97,120;60,92;23,120;37,74;0,46" o:connectangles="0,0,0,0,0,0,0,0,0,0,0"/>
              <v:fill on="t" focussize="0,0"/>
              <v:stroke weight="1pt" color="#FF0000" joinstyle="miter"/>
              <v:imagedata o:title=""/>
              <o:lock v:ext="edit"/>
            </v:shape>
            <v:shape id="_x0000_s1064" o:spid="_x0000_s1064" o:spt="62" type="#_x0000_t62" style="position:absolute;left:12427;top:177739;height:480;width:1260;v-text-anchor:middle;"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" adj="-10920,4050">
              <v:path/>
              <v:fill on="f" focussize="0,0"/>
              <v:stroke weight="1pt" color="#FF0000" joinstyle="miter"/>
              <v:imagedata o:title=""/>
              <o:lock v:ext="edit"/>
              <v:textbox>
                <w:txbxContent>
                  <w:p>
                    <w:pPr>
                      <w:spacing w:line="240" w:lineRule="auto"/>
                      <w:jc w:val="center"/>
                      <w:rPr>
                        <w:color w:val="002060"/>
                        <w:sz w:val="21"/>
                        <w:szCs w:val="21"/>
                        <w:highlight w:val="cyan"/>
                      </w:rPr>
                    </w:pPr>
                    <w:r>
                      <w:rPr>
                        <w:rFonts w:hint="eastAsia"/>
                        <w:color w:val="002060"/>
                        <w:sz w:val="21"/>
                        <w:szCs w:val="21"/>
                        <w:highlight w:val="cyan"/>
                      </w:rPr>
                      <w:t>项目区</w:t>
                    </w:r>
                  </w:p>
                </w:txbxContent>
              </v:textbox>
            </v:shape>
          </v:group>
        </w:pict>
      </w:r>
      <w:r>
        <w:rPr>
          <w:rFonts w:ascii="Times New Roman" w:hAnsi="Times New Roman" w:cs="Times New Roman"/>
        </w:rPr>
        <w:drawing>
          <wp:inline distT="0" distB="0" distL="114300" distR="114300">
            <wp:extent cx="7229475" cy="4733925"/>
            <wp:effectExtent l="19050" t="0" r="9525" b="0"/>
            <wp:docPr id="23" name="图片 23" descr="2 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2 006"/>
                    <pic:cNvPicPr>
                      <a:picLocks noChangeAspect="1"/>
                    </pic:cNvPicPr>
                  </pic:nvPicPr>
                  <pic:blipFill>
                    <a:blip r:embed="rId18"/>
                    <a:srcRect l="13898" t="13918" r="13898" b="19239"/>
                    <a:stretch>
                      <a:fillRect/>
                    </a:stretch>
                  </pic:blipFill>
                  <pic:spPr>
                    <a:xfrm>
                      <a:off x="0" y="0"/>
                      <a:ext cx="7229475" cy="4733925"/>
                    </a:xfrm>
                    <a:prstGeom prst="rect">
                      <a:avLst/>
                    </a:prstGeom>
                  </pic:spPr>
                </pic:pic>
              </a:graphicData>
            </a:graphic>
          </wp:inline>
        </w:drawing>
      </w:r>
    </w:p>
    <w:p>
      <w:pPr>
        <w:pStyle w:val="28"/>
        <w:jc w:val="center"/>
        <w:rPr>
          <w:rFonts w:ascii="Times New Roman" w:hAnsi="Times New Roman" w:cs="Times New Roman"/>
          <w:b/>
          <w:bCs/>
        </w:rPr>
      </w:pPr>
      <w:r>
        <w:rPr>
          <w:rFonts w:ascii="Times New Roman" w:hAnsi="Times New Roman" w:cs="Times New Roman"/>
          <w:b/>
          <w:bCs/>
        </w:rPr>
        <w:t>图3-</w:t>
      </w:r>
      <w:r>
        <w:rPr>
          <w:rFonts w:hint="eastAsia" w:ascii="Times New Roman" w:hAnsi="Times New Roman" w:cs="Times New Roman"/>
          <w:b/>
          <w:bCs/>
        </w:rPr>
        <w:t>5</w:t>
      </w:r>
      <w:r>
        <w:rPr>
          <w:rFonts w:ascii="Times New Roman" w:hAnsi="Times New Roman" w:cs="Times New Roman"/>
          <w:b/>
          <w:bCs/>
        </w:rPr>
        <w:t xml:space="preserve">   忻州市生态功能区划图</w:t>
      </w:r>
    </w:p>
    <w:p>
      <w:pPr>
        <w:pStyle w:val="28"/>
        <w:jc w:val="center"/>
        <w:rPr>
          <w:rFonts w:ascii="Times New Roman" w:hAnsi="Times New Roman" w:cs="Times New Roman"/>
          <w:b/>
          <w:bCs/>
        </w:rPr>
      </w:pPr>
      <w:r>
        <w:rPr>
          <w:rFonts w:ascii="Times New Roman" w:hAnsi="Times New Roman" w:cs="Times New Roman"/>
          <w:b/>
          <w:bCs/>
        </w:rPr>
        <w:drawing>
          <wp:anchor distT="0" distB="0" distL="114300" distR="114300" simplePos="0" relativeHeight="251661312" behindDoc="0" locked="0" layoutInCell="1" allowOverlap="1">
            <wp:simplePos x="0" y="0"/>
            <wp:positionH relativeFrom="column">
              <wp:posOffset>1045210</wp:posOffset>
            </wp:positionH>
            <wp:positionV relativeFrom="paragraph">
              <wp:posOffset>12700</wp:posOffset>
            </wp:positionV>
            <wp:extent cx="6830060" cy="4832985"/>
            <wp:effectExtent l="19050" t="0" r="8890" b="0"/>
            <wp:wrapNone/>
            <wp:docPr id="21" name="图片 21" descr="D:\生态收集资料\生态两区规划 (1)\五台生态两区规划\五台生态功能区划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生态收集资料\生态两区规划 (1)\五台生态两区规划\五台生态功能区划图.jpg"/>
                    <pic:cNvPicPr>
                      <a:picLocks noChangeAspect="1" noChangeArrowheads="1"/>
                    </pic:cNvPicPr>
                  </pic:nvPicPr>
                  <pic:blipFill>
                    <a:blip r:embed="rId19" cstate="print"/>
                    <a:srcRect/>
                    <a:stretch>
                      <a:fillRect/>
                    </a:stretch>
                  </pic:blipFill>
                  <pic:spPr>
                    <a:xfrm>
                      <a:off x="0" y="0"/>
                      <a:ext cx="6830060" cy="4832985"/>
                    </a:xfrm>
                    <a:prstGeom prst="rect">
                      <a:avLst/>
                    </a:prstGeom>
                    <a:noFill/>
                    <a:ln w="9525">
                      <a:noFill/>
                      <a:miter lim="800000"/>
                      <a:headEnd/>
                      <a:tailEnd/>
                    </a:ln>
                  </pic:spPr>
                </pic:pic>
              </a:graphicData>
            </a:graphic>
          </wp:anchor>
        </w:drawing>
      </w:r>
    </w:p>
    <w:p>
      <w:pPr>
        <w:pStyle w:val="28"/>
        <w:jc w:val="center"/>
        <w:rPr>
          <w:rFonts w:ascii="Times New Roman" w:hAnsi="Times New Roman" w:cs="Times New Roman"/>
          <w:b/>
          <w:bCs/>
        </w:rPr>
      </w:pPr>
    </w:p>
    <w:p>
      <w:pPr>
        <w:pStyle w:val="28"/>
        <w:jc w:val="center"/>
        <w:rPr>
          <w:rFonts w:ascii="Times New Roman" w:hAnsi="Times New Roman" w:cs="Times New Roman"/>
          <w:b/>
          <w:bCs/>
        </w:rPr>
      </w:pPr>
    </w:p>
    <w:p>
      <w:pPr>
        <w:pStyle w:val="28"/>
        <w:jc w:val="center"/>
        <w:rPr>
          <w:rFonts w:ascii="Times New Roman" w:hAnsi="Times New Roman" w:cs="Times New Roman"/>
          <w:b/>
          <w:bCs/>
        </w:rPr>
      </w:pPr>
    </w:p>
    <w:p>
      <w:pPr>
        <w:pStyle w:val="28"/>
        <w:jc w:val="center"/>
        <w:rPr>
          <w:rFonts w:ascii="Times New Roman" w:hAnsi="Times New Roman" w:cs="Times New Roman"/>
          <w:b/>
          <w:bCs/>
        </w:rPr>
      </w:pPr>
    </w:p>
    <w:p>
      <w:pPr>
        <w:pStyle w:val="28"/>
        <w:jc w:val="center"/>
        <w:rPr>
          <w:rFonts w:ascii="Times New Roman" w:hAnsi="Times New Roman" w:cs="Times New Roman"/>
          <w:b/>
          <w:bCs/>
        </w:rPr>
      </w:pPr>
    </w:p>
    <w:p>
      <w:pPr>
        <w:pStyle w:val="28"/>
        <w:jc w:val="center"/>
        <w:rPr>
          <w:rFonts w:ascii="Times New Roman" w:hAnsi="Times New Roman" w:cs="Times New Roman"/>
          <w:b/>
          <w:bCs/>
        </w:rPr>
      </w:pPr>
    </w:p>
    <w:p>
      <w:pPr>
        <w:pStyle w:val="28"/>
        <w:jc w:val="center"/>
        <w:rPr>
          <w:rFonts w:ascii="Times New Roman" w:hAnsi="Times New Roman" w:cs="Times New Roman"/>
          <w:b/>
          <w:bCs/>
        </w:rPr>
      </w:pPr>
    </w:p>
    <w:p>
      <w:pPr>
        <w:pStyle w:val="28"/>
        <w:jc w:val="center"/>
        <w:rPr>
          <w:rFonts w:ascii="Times New Roman" w:hAnsi="Times New Roman" w:cs="Times New Roman"/>
          <w:b/>
          <w:bCs/>
        </w:rPr>
      </w:pPr>
    </w:p>
    <w:p>
      <w:pPr>
        <w:pStyle w:val="28"/>
        <w:jc w:val="center"/>
        <w:rPr>
          <w:rFonts w:ascii="Times New Roman" w:hAnsi="Times New Roman" w:cs="Times New Roman"/>
          <w:b/>
          <w:bCs/>
        </w:rPr>
      </w:pPr>
      <w:r>
        <w:rPr>
          <w:rFonts w:ascii="Times New Roman" w:hAnsi="Times New Roman" w:cs="Times New Roman"/>
          <w:b/>
          <w:bCs/>
        </w:rPr>
        <w:pict>
          <v:group id="_x0000_s1065" o:spid="_x0000_s1065" o:spt="203" style="position:absolute;left:0pt;margin-left:299.8pt;margin-top:1.55pt;height:24pt;width:100pt;z-index:251671552;mso-width-relative:margin;mso-height-relative:margin;" coordorigin="11687,177739" coordsize="2000,480203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">
            <o:lock v:ext="edit"/>
            <v:shape id="五角星 4" o:spid="_x0000_s1066" style="position:absolute;left:11687;top:177768;height:120;width:120;v-text-anchor:middle;" fillcolor="#FF0000" filled="t" stroked="t" coordsize="10000,1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" path="m0,3833l3833,3833,5000,0,6167,3833,10000,3833,6917,6167,8083,10000,5000,7667,1917,10000,3083,6167,0,3833xe">
              <v:path arrowok="t" o:connecttype="custom" o:connectlocs="0,46;46,46;60,0;74,46;120,46;83,74;97,120;60,92;23,120;37,74;0,46" o:connectangles="0,0,0,0,0,0,0,0,0,0,0"/>
              <v:fill on="t" focussize="0,0"/>
              <v:stroke weight="1pt" color="#FF0000" joinstyle="miter"/>
              <v:imagedata o:title=""/>
              <o:lock v:ext="edit"/>
            </v:shape>
            <v:shape id="_x0000_s1067" o:spid="_x0000_s1067" o:spt="62" type="#_x0000_t62" style="position:absolute;left:12427;top:177739;height:480;width:1260;v-text-anchor:middle;"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" adj="-10920,4050">
              <v:path/>
              <v:fill on="f" focussize="0,0"/>
              <v:stroke weight="1pt" color="#FF0000" joinstyle="miter"/>
              <v:imagedata o:title=""/>
              <o:lock v:ext="edit"/>
              <v:textbox>
                <w:txbxContent>
                  <w:p>
                    <w:pPr>
                      <w:spacing w:line="240" w:lineRule="auto"/>
                      <w:jc w:val="center"/>
                      <w:rPr>
                        <w:color w:val="002060"/>
                        <w:sz w:val="21"/>
                        <w:szCs w:val="21"/>
                        <w:highlight w:val="cyan"/>
                      </w:rPr>
                    </w:pPr>
                    <w:r>
                      <w:rPr>
                        <w:rFonts w:hint="eastAsia"/>
                        <w:color w:val="002060"/>
                        <w:sz w:val="21"/>
                        <w:szCs w:val="21"/>
                        <w:highlight w:val="cyan"/>
                      </w:rPr>
                      <w:t>项目区</w:t>
                    </w:r>
                  </w:p>
                </w:txbxContent>
              </v:textbox>
            </v:shape>
          </v:group>
        </w:pict>
      </w:r>
    </w:p>
    <w:p>
      <w:pPr>
        <w:pStyle w:val="28"/>
        <w:jc w:val="center"/>
        <w:rPr>
          <w:rFonts w:ascii="Times New Roman" w:hAnsi="Times New Roman" w:cs="Times New Roman"/>
          <w:b/>
          <w:bCs/>
        </w:rPr>
      </w:pPr>
    </w:p>
    <w:p>
      <w:pPr>
        <w:pStyle w:val="28"/>
        <w:jc w:val="center"/>
        <w:rPr>
          <w:rFonts w:ascii="Times New Roman" w:hAnsi="Times New Roman" w:cs="Times New Roman"/>
          <w:b/>
          <w:bCs/>
        </w:rPr>
      </w:pPr>
    </w:p>
    <w:p>
      <w:pPr>
        <w:pStyle w:val="28"/>
        <w:jc w:val="center"/>
        <w:rPr>
          <w:rFonts w:ascii="Times New Roman" w:hAnsi="Times New Roman" w:cs="Times New Roman"/>
          <w:b/>
          <w:bCs/>
        </w:rPr>
      </w:pPr>
    </w:p>
    <w:p>
      <w:pPr>
        <w:pStyle w:val="28"/>
        <w:jc w:val="center"/>
        <w:rPr>
          <w:rFonts w:ascii="Times New Roman" w:hAnsi="Times New Roman" w:cs="Times New Roman"/>
          <w:b/>
          <w:bCs/>
        </w:rPr>
      </w:pPr>
    </w:p>
    <w:p>
      <w:pPr>
        <w:pStyle w:val="28"/>
        <w:jc w:val="center"/>
        <w:rPr>
          <w:rFonts w:ascii="Times New Roman" w:hAnsi="Times New Roman" w:cs="Times New Roman"/>
          <w:b/>
          <w:bCs/>
        </w:rPr>
      </w:pPr>
    </w:p>
    <w:p>
      <w:pPr>
        <w:pStyle w:val="28"/>
        <w:jc w:val="center"/>
        <w:rPr>
          <w:rFonts w:ascii="Times New Roman" w:hAnsi="Times New Roman" w:cs="Times New Roman"/>
          <w:b/>
          <w:bCs/>
        </w:rPr>
      </w:pPr>
      <w:r>
        <w:rPr>
          <w:rFonts w:ascii="Times New Roman" w:hAnsi="Times New Roman" w:cs="Times New Roman"/>
          <w:b/>
          <w:bCs/>
        </w:rPr>
        <w:t>图3-</w:t>
      </w:r>
      <w:r>
        <w:rPr>
          <w:rFonts w:hint="eastAsia" w:ascii="Times New Roman" w:hAnsi="Times New Roman" w:cs="Times New Roman"/>
          <w:b/>
          <w:bCs/>
        </w:rPr>
        <w:t>6</w:t>
      </w:r>
      <w:r>
        <w:rPr>
          <w:rFonts w:ascii="Times New Roman" w:hAnsi="Times New Roman" w:cs="Times New Roman"/>
          <w:b/>
          <w:bCs/>
        </w:rPr>
        <w:t xml:space="preserve">    五台县生态功能区划图</w:t>
      </w:r>
    </w:p>
    <w:p>
      <w:pPr>
        <w:pStyle w:val="28"/>
        <w:jc w:val="center"/>
        <w:rPr>
          <w:rFonts w:ascii="Times New Roman" w:hAnsi="Times New Roman" w:cs="Times New Roman"/>
          <w:b/>
          <w:bCs/>
        </w:rPr>
        <w:sectPr>
          <w:pgSz w:w="16838" w:h="11906" w:orient="landscape"/>
          <w:pgMar w:top="1800" w:right="1440" w:bottom="1800" w:left="1440" w:header="851" w:footer="850" w:gutter="0"/>
          <w:cols w:space="425" w:num="1"/>
          <w:docGrid w:type="lines" w:linePitch="312" w:charSpace="0"/>
        </w:sectPr>
      </w:pPr>
    </w:p>
    <w:p>
      <w:pPr>
        <w:pStyle w:val="28"/>
        <w:ind w:firstLine="482" w:firstLineChars="200"/>
        <w:jc w:val="both"/>
        <w:rPr>
          <w:rFonts w:ascii="Times New Roman" w:hAnsi="Times New Roman" w:cs="Times New Roman"/>
          <w:b/>
          <w:bCs/>
        </w:rPr>
      </w:pPr>
      <w:r>
        <w:rPr>
          <w:rFonts w:ascii="Times New Roman" w:hAnsi="Times New Roman" w:cs="Times New Roman"/>
          <w:b/>
          <w:bCs/>
        </w:rPr>
        <w:t>（1）生态环境敏感性调查</w:t>
      </w:r>
    </w:p>
    <w:p>
      <w:pPr>
        <w:pStyle w:val="28"/>
        <w:ind w:firstLine="480" w:firstLineChars="200"/>
        <w:rPr>
          <w:rFonts w:ascii="Times New Roman" w:hAnsi="Times New Roman" w:cs="Times New Roman"/>
        </w:rPr>
      </w:pPr>
      <w:r>
        <w:rPr>
          <w:rFonts w:hint="eastAsia" w:ascii="Times New Roman" w:hAnsi="Times New Roman" w:cs="Times New Roman"/>
        </w:rPr>
        <w:t>经调查，评价区域内无自然保护区、风景名胜区、饮用水水源保护区、世界文化和自然遗产地。无列入国家及地方保护名录的珍惜濒危动植物分布。项目不涉及基本农田保护区、森林公园、地质公园、重要湿地等生态敏感区。</w:t>
      </w:r>
    </w:p>
    <w:p>
      <w:pPr>
        <w:pStyle w:val="28"/>
        <w:ind w:firstLine="480" w:firstLineChars="200"/>
        <w:rPr>
          <w:rFonts w:ascii="Times New Roman" w:hAnsi="Times New Roman" w:cs="Times New Roman"/>
        </w:rPr>
      </w:pPr>
      <w:r>
        <w:rPr>
          <w:rFonts w:ascii="Times New Roman" w:hAnsi="Times New Roman" w:cs="Times New Roman"/>
        </w:rPr>
        <w:t>经分析，本矿山位置距离周围自然保护区、风景名胜区均较远，对其不产生影响，生境敏感性介于不敏感性与轻度敏感之间。</w:t>
      </w:r>
    </w:p>
    <w:p>
      <w:pPr>
        <w:widowControl/>
        <w:ind w:firstLine="482" w:firstLineChars="200"/>
        <w:jc w:val="left"/>
        <w:rPr>
          <w:rFonts w:ascii="Times New Roman" w:hAnsi="Times New Roman"/>
          <w:b/>
          <w:bCs/>
          <w:kern w:val="0"/>
          <w:szCs w:val="24"/>
        </w:rPr>
      </w:pPr>
      <w:r>
        <w:rPr>
          <w:rFonts w:ascii="Times New Roman" w:hAnsi="Times New Roman"/>
          <w:b/>
          <w:bCs/>
          <w:kern w:val="0"/>
          <w:szCs w:val="24"/>
        </w:rPr>
        <w:t>（2）生物多样性调查</w:t>
      </w:r>
    </w:p>
    <w:p>
      <w:pPr>
        <w:pStyle w:val="28"/>
        <w:ind w:firstLine="480" w:firstLineChars="200"/>
        <w:rPr>
          <w:rFonts w:ascii="Times New Roman" w:hAnsi="Times New Roman" w:cs="Times New Roman"/>
        </w:rPr>
      </w:pPr>
      <w:r>
        <w:rPr>
          <w:rFonts w:ascii="Times New Roman" w:hAnsi="Times New Roman" w:cs="Times New Roman"/>
        </w:rPr>
        <w:t>经调查:矿山范围及周围</w:t>
      </w:r>
      <w:r>
        <w:t>自然植被以灌丛、灌草丛和草丛为主</w:t>
      </w:r>
      <w:r>
        <w:rPr>
          <w:szCs w:val="28"/>
        </w:rPr>
        <w:t>。</w:t>
      </w:r>
      <w:r>
        <w:t>乔木有油松、华北落叶松等；灌丛主要有柠条、沙棘、山剌玫、剌叶蔷薇、刺槐等；主要草本有狗尾草、羊草、蒲公英和苜蓿等植物</w:t>
      </w:r>
      <w:r>
        <w:rPr>
          <w:rFonts w:ascii="Times New Roman" w:hAnsi="Times New Roman" w:cs="Times New Roman"/>
        </w:rPr>
        <w:t>。动物主要有：麻雀、喜鹊、野免、鼠类等。</w:t>
      </w:r>
    </w:p>
    <w:p>
      <w:pPr>
        <w:pStyle w:val="28"/>
        <w:ind w:firstLine="480" w:firstLineChars="200"/>
        <w:rPr>
          <w:rFonts w:ascii="Times New Roman" w:hAnsi="Times New Roman" w:cs="Times New Roman"/>
          <w:color w:val="auto"/>
        </w:rPr>
      </w:pPr>
      <w:r>
        <w:rPr>
          <w:rFonts w:ascii="Times New Roman" w:hAnsi="Times New Roman" w:cs="Times New Roman"/>
        </w:rPr>
        <w:t>以上这些动植物均不属于国家及地方重点保护的动植物物种</w:t>
      </w:r>
      <w:r>
        <w:rPr>
          <w:rFonts w:hint="eastAsia" w:ascii="Times New Roman" w:hAnsi="Times New Roman" w:cs="Times New Roman"/>
        </w:rPr>
        <w:t>，</w:t>
      </w:r>
      <w:r>
        <w:rPr>
          <w:rFonts w:ascii="Times New Roman" w:hAnsi="Times New Roman" w:cs="Times New Roman"/>
        </w:rPr>
        <w:t>均属常见种</w:t>
      </w:r>
      <w:r>
        <w:rPr>
          <w:rFonts w:hint="eastAsia" w:ascii="Times New Roman" w:hAnsi="Times New Roman" w:cs="Times New Roman"/>
        </w:rPr>
        <w:t>，</w:t>
      </w:r>
      <w:r>
        <w:rPr>
          <w:rFonts w:ascii="Times New Roman" w:hAnsi="Times New Roman" w:cs="Times New Roman"/>
        </w:rPr>
        <w:t>本矿山的采矿以及人为活动没有引起区域内生物多样性的显著变化</w:t>
      </w:r>
      <w:r>
        <w:rPr>
          <w:rFonts w:hint="eastAsia" w:ascii="Times New Roman" w:hAnsi="Times New Roman" w:cs="Times New Roman"/>
        </w:rPr>
        <w:t>，</w:t>
      </w:r>
      <w:r>
        <w:rPr>
          <w:rFonts w:ascii="Times New Roman" w:hAnsi="Times New Roman" w:cs="Times New Roman"/>
        </w:rPr>
        <w:t>生物多样性保护为</w:t>
      </w:r>
      <w:r>
        <w:rPr>
          <w:rFonts w:ascii="Times New Roman" w:hAnsi="Times New Roman" w:cs="Times New Roman"/>
          <w:color w:val="auto"/>
        </w:rPr>
        <w:t>一般重要。</w:t>
      </w:r>
    </w:p>
    <w:p>
      <w:pPr>
        <w:pStyle w:val="31"/>
      </w:pPr>
      <w:bookmarkStart w:id="198" w:name="_Toc71036656"/>
      <w:r>
        <w:t>3.3.4 水土流失调查</w:t>
      </w:r>
      <w:bookmarkEnd w:id="198"/>
    </w:p>
    <w:p>
      <w:pPr>
        <w:widowControl/>
        <w:ind w:firstLine="480" w:firstLineChars="200"/>
        <w:jc w:val="left"/>
        <w:rPr>
          <w:rFonts w:ascii="Times New Roman" w:hAnsi="Times New Roman"/>
          <w:kern w:val="0"/>
          <w:szCs w:val="24"/>
        </w:rPr>
      </w:pPr>
      <w:r>
        <w:rPr>
          <w:rFonts w:ascii="Times New Roman" w:hAnsi="Times New Roman"/>
        </w:rPr>
        <w:t>矿山矿区属</w:t>
      </w:r>
      <w:r>
        <w:rPr>
          <w:szCs w:val="28"/>
        </w:rPr>
        <w:t>低中山</w:t>
      </w:r>
      <w:r>
        <w:rPr>
          <w:rFonts w:ascii="Times New Roman" w:hAnsi="Times New Roman"/>
        </w:rPr>
        <w:t>区，土壤主要为褐土</w:t>
      </w:r>
      <w:r>
        <w:rPr>
          <w:rFonts w:hint="eastAsia" w:ascii="Times New Roman" w:hAnsi="Times New Roman"/>
        </w:rPr>
        <w:t>，</w:t>
      </w:r>
      <w:r>
        <w:rPr>
          <w:rFonts w:ascii="Times New Roman" w:hAnsi="Times New Roman"/>
        </w:rPr>
        <w:t>植被覆盖较差</w:t>
      </w:r>
      <w:r>
        <w:rPr>
          <w:rFonts w:hint="eastAsia" w:ascii="Times New Roman" w:hAnsi="Times New Roman"/>
        </w:rPr>
        <w:t>，</w:t>
      </w:r>
      <w:r>
        <w:rPr>
          <w:rFonts w:ascii="Times New Roman" w:hAnsi="Times New Roman"/>
        </w:rPr>
        <w:t>土地侵蚀较平原区严重，水土流失是该区域主要的生态问题，严重的水土流失造成多方</w:t>
      </w:r>
      <w:r>
        <w:rPr>
          <w:rFonts w:ascii="Times New Roman" w:hAnsi="Times New Roman"/>
          <w:kern w:val="0"/>
          <w:szCs w:val="24"/>
        </w:rPr>
        <w:t>面的危害：</w:t>
      </w:r>
      <w:r>
        <w:rPr>
          <w:rFonts w:ascii="宋体" w:hAnsi="Times New Roman"/>
          <w:kern w:val="0"/>
          <w:szCs w:val="24"/>
        </w:rPr>
        <w:t>①</w:t>
      </w:r>
      <w:r>
        <w:rPr>
          <w:rFonts w:ascii="Times New Roman" w:hAnsi="Times New Roman"/>
          <w:kern w:val="0"/>
          <w:szCs w:val="24"/>
        </w:rPr>
        <w:t>引起生态系统的严重失调，自然环境恶化，使干早蔓延，从而威胁农业生产的发展；</w:t>
      </w:r>
      <w:r>
        <w:rPr>
          <w:rFonts w:ascii="宋体" w:hAnsi="Times New Roman"/>
          <w:kern w:val="0"/>
          <w:szCs w:val="24"/>
        </w:rPr>
        <w:t>②</w:t>
      </w:r>
      <w:r>
        <w:rPr>
          <w:rFonts w:ascii="Times New Roman" w:hAnsi="Times New Roman"/>
          <w:kern w:val="0"/>
          <w:szCs w:val="24"/>
        </w:rPr>
        <w:t>土地逐步减少，使大量的山地变成利用价值极小的基岩裸露区；</w:t>
      </w:r>
      <w:r>
        <w:rPr>
          <w:rFonts w:ascii="宋体" w:hAnsi="Times New Roman"/>
          <w:kern w:val="0"/>
          <w:szCs w:val="24"/>
        </w:rPr>
        <w:t>③</w:t>
      </w:r>
      <w:r>
        <w:rPr>
          <w:rFonts w:ascii="Times New Roman" w:hAnsi="Times New Roman"/>
          <w:kern w:val="0"/>
          <w:szCs w:val="24"/>
        </w:rPr>
        <w:t>土地肥力逐年减退，由于水土流失，大量的有机质氮、磷流失；</w:t>
      </w:r>
      <w:r>
        <w:rPr>
          <w:rFonts w:ascii="宋体" w:hAnsi="Times New Roman"/>
          <w:kern w:val="0"/>
          <w:szCs w:val="24"/>
        </w:rPr>
        <w:t>④</w:t>
      </w:r>
      <w:r>
        <w:rPr>
          <w:rFonts w:ascii="Times New Roman" w:hAnsi="Times New Roman"/>
          <w:kern w:val="0"/>
          <w:szCs w:val="24"/>
        </w:rPr>
        <w:t>一部分农田追施的化肥白白流失，加大了生产成本；</w:t>
      </w:r>
      <w:r>
        <w:rPr>
          <w:rFonts w:ascii="宋体" w:hAnsi="Times New Roman"/>
          <w:kern w:val="0"/>
          <w:szCs w:val="24"/>
        </w:rPr>
        <w:t>⑤</w:t>
      </w:r>
      <w:r>
        <w:rPr>
          <w:rFonts w:ascii="Times New Roman" w:hAnsi="Times New Roman"/>
          <w:kern w:val="0"/>
          <w:szCs w:val="24"/>
        </w:rPr>
        <w:t>造成粮食减产，农业生产长期处于地产落后状态，生产成本经济效益差，同时也影响了林草的正常生长。</w:t>
      </w:r>
    </w:p>
    <w:p>
      <w:pPr>
        <w:widowControl/>
        <w:ind w:firstLine="480" w:firstLineChars="200"/>
        <w:jc w:val="left"/>
        <w:rPr>
          <w:rFonts w:ascii="Times New Roman" w:hAnsi="Times New Roman"/>
          <w:kern w:val="0"/>
          <w:szCs w:val="24"/>
        </w:rPr>
      </w:pPr>
      <w:r>
        <w:rPr>
          <w:rFonts w:ascii="Times New Roman" w:hAnsi="Times New Roman"/>
          <w:kern w:val="0"/>
          <w:szCs w:val="24"/>
        </w:rPr>
        <w:t>调查分析矿山水土流失单元主要为:采场、</w:t>
      </w:r>
      <w:r>
        <w:rPr>
          <w:rFonts w:hint="eastAsia" w:ascii="Times New Roman" w:hAnsi="Times New Roman"/>
          <w:kern w:val="0"/>
          <w:szCs w:val="24"/>
        </w:rPr>
        <w:t>堆料</w:t>
      </w:r>
      <w:r>
        <w:rPr>
          <w:rFonts w:ascii="Times New Roman" w:hAnsi="Times New Roman"/>
          <w:kern w:val="0"/>
          <w:szCs w:val="24"/>
        </w:rPr>
        <w:t>场</w:t>
      </w:r>
      <w:r>
        <w:rPr>
          <w:rFonts w:hint="eastAsia" w:ascii="Times New Roman" w:hAnsi="Times New Roman"/>
          <w:kern w:val="0"/>
          <w:szCs w:val="24"/>
        </w:rPr>
        <w:t>、</w:t>
      </w:r>
      <w:r>
        <w:rPr>
          <w:rFonts w:ascii="Times New Roman" w:hAnsi="Times New Roman"/>
          <w:kern w:val="0"/>
          <w:szCs w:val="24"/>
        </w:rPr>
        <w:t>废渣场、场内外道路、矿区范围水土流失严重区。</w:t>
      </w:r>
      <w:r>
        <w:rPr>
          <w:rFonts w:hint="eastAsia" w:ascii="Times New Roman" w:hAnsi="Times New Roman"/>
          <w:kern w:val="0"/>
          <w:szCs w:val="24"/>
        </w:rPr>
        <w:t>采矿</w:t>
      </w:r>
      <w:r>
        <w:rPr>
          <w:rFonts w:ascii="Times New Roman" w:hAnsi="Times New Roman"/>
          <w:kern w:val="0"/>
          <w:szCs w:val="24"/>
        </w:rPr>
        <w:t>运行以来</w:t>
      </w:r>
      <w:r>
        <w:rPr>
          <w:rFonts w:hint="eastAsia" w:ascii="Times New Roman" w:hAnsi="Times New Roman"/>
          <w:kern w:val="0"/>
          <w:szCs w:val="24"/>
        </w:rPr>
        <w:t>，</w:t>
      </w:r>
      <w:r>
        <w:rPr>
          <w:rFonts w:ascii="Times New Roman" w:hAnsi="Times New Roman"/>
          <w:kern w:val="0"/>
          <w:szCs w:val="24"/>
        </w:rPr>
        <w:t>矿山已分阶段采取了一些水土保持措施</w:t>
      </w:r>
      <w:r>
        <w:rPr>
          <w:rFonts w:hint="eastAsia" w:ascii="Times New Roman" w:hAnsi="Times New Roman"/>
          <w:kern w:val="0"/>
          <w:szCs w:val="24"/>
        </w:rPr>
        <w:t>，</w:t>
      </w:r>
      <w:r>
        <w:rPr>
          <w:rFonts w:ascii="Times New Roman" w:hAnsi="Times New Roman"/>
          <w:kern w:val="0"/>
          <w:szCs w:val="24"/>
        </w:rPr>
        <w:t>但在很多方面存在欠缺</w:t>
      </w:r>
      <w:r>
        <w:rPr>
          <w:rFonts w:hint="eastAsia" w:ascii="Times New Roman" w:hAnsi="Times New Roman"/>
          <w:kern w:val="0"/>
          <w:szCs w:val="24"/>
        </w:rPr>
        <w:t>，</w:t>
      </w:r>
      <w:r>
        <w:rPr>
          <w:rFonts w:ascii="Times New Roman" w:hAnsi="Times New Roman"/>
          <w:kern w:val="0"/>
          <w:szCs w:val="24"/>
        </w:rPr>
        <w:t>具体如下:</w:t>
      </w:r>
    </w:p>
    <w:p>
      <w:pPr>
        <w:widowControl/>
        <w:ind w:firstLine="480" w:firstLineChars="200"/>
        <w:jc w:val="left"/>
        <w:rPr>
          <w:rFonts w:ascii="Times New Roman" w:hAnsi="Times New Roman"/>
          <w:kern w:val="0"/>
          <w:szCs w:val="24"/>
        </w:rPr>
      </w:pPr>
      <w:r>
        <w:rPr>
          <w:rFonts w:ascii="Times New Roman" w:hAnsi="Times New Roman"/>
          <w:kern w:val="0"/>
          <w:szCs w:val="24"/>
        </w:rPr>
        <w:t>1.采场</w:t>
      </w:r>
    </w:p>
    <w:p>
      <w:pPr>
        <w:widowControl/>
        <w:ind w:firstLine="480" w:firstLineChars="200"/>
        <w:jc w:val="left"/>
        <w:rPr>
          <w:rFonts w:ascii="Times New Roman" w:hAnsi="Times New Roman"/>
          <w:kern w:val="0"/>
          <w:szCs w:val="24"/>
        </w:rPr>
      </w:pPr>
      <w:r>
        <w:rPr>
          <w:rFonts w:ascii="Times New Roman" w:hAnsi="Times New Roman"/>
          <w:kern w:val="0"/>
          <w:szCs w:val="24"/>
        </w:rPr>
        <w:t>矿山历年来在矿区北部已形成一个走向北东-南西的以往露天剥采区一处，露天剥采区长约240m，宽约172m，最大垂直深度约90m，</w:t>
      </w:r>
      <w:r>
        <w:rPr>
          <w:rFonts w:hint="eastAsia" w:ascii="Times New Roman" w:hAnsi="Times New Roman"/>
          <w:kern w:val="0"/>
          <w:szCs w:val="24"/>
        </w:rPr>
        <w:t>平台</w:t>
      </w:r>
      <w:r>
        <w:rPr>
          <w:rFonts w:ascii="Times New Roman" w:hAnsi="Times New Roman"/>
          <w:kern w:val="0"/>
          <w:szCs w:val="24"/>
        </w:rPr>
        <w:t>标高为955.8m，面积2.4848hm</w:t>
      </w:r>
      <w:r>
        <w:rPr>
          <w:rFonts w:ascii="Times New Roman" w:hAnsi="Times New Roman"/>
          <w:kern w:val="0"/>
          <w:szCs w:val="24"/>
          <w:vertAlign w:val="superscript"/>
        </w:rPr>
        <w:t>2</w:t>
      </w:r>
      <w:r>
        <w:rPr>
          <w:rFonts w:ascii="Times New Roman" w:hAnsi="Times New Roman"/>
          <w:kern w:val="0"/>
          <w:szCs w:val="24"/>
        </w:rPr>
        <w:t>，其中矿界内面积0.1803 hm</w:t>
      </w:r>
      <w:r>
        <w:rPr>
          <w:rFonts w:ascii="Times New Roman" w:hAnsi="Times New Roman"/>
          <w:kern w:val="0"/>
          <w:szCs w:val="24"/>
          <w:vertAlign w:val="superscript"/>
        </w:rPr>
        <w:t>2</w:t>
      </w:r>
      <w:r>
        <w:rPr>
          <w:rFonts w:ascii="Times New Roman" w:hAnsi="Times New Roman"/>
          <w:kern w:val="0"/>
          <w:szCs w:val="24"/>
        </w:rPr>
        <w:t>，矿界外面积2.3045 hm</w:t>
      </w:r>
      <w:r>
        <w:rPr>
          <w:rFonts w:ascii="Times New Roman" w:hAnsi="Times New Roman"/>
          <w:kern w:val="0"/>
          <w:szCs w:val="24"/>
          <w:vertAlign w:val="superscript"/>
        </w:rPr>
        <w:t>2</w:t>
      </w:r>
      <w:r>
        <w:rPr>
          <w:rFonts w:ascii="Times New Roman" w:hAnsi="Times New Roman"/>
          <w:kern w:val="0"/>
          <w:szCs w:val="24"/>
        </w:rPr>
        <w:t>，形成三个平台，局部边坡角较陡，局部边坡角约70°，采场区域水土流失严重，采场边坡裸露地表，山坡未进行护坡处理，也没有山坡集水的防洪措施，地表挖填比较严重，地表植被覆盖率较低，水土流失严重。</w:t>
      </w:r>
    </w:p>
    <w:p>
      <w:pPr>
        <w:widowControl/>
        <w:jc w:val="left"/>
        <w:rPr>
          <w:rFonts w:ascii="Times New Roman" w:hAnsi="Times New Roman"/>
          <w:kern w:val="0"/>
          <w:szCs w:val="24"/>
        </w:rPr>
      </w:pPr>
      <w:r>
        <w:t>现场调查如下图所示：</w:t>
      </w:r>
    </w:p>
    <w:p>
      <w:pPr>
        <w:widowControl/>
        <w:jc w:val="left"/>
        <w:rPr>
          <w:rFonts w:ascii="Times New Roman" w:hAnsi="Times New Roman"/>
          <w:kern w:val="0"/>
          <w:szCs w:val="24"/>
        </w:rPr>
      </w:pPr>
      <w:r>
        <w:rPr>
          <w:rFonts w:hint="eastAsia" w:ascii="Times New Roman" w:hAnsi="Times New Roman"/>
          <w:kern w:val="0"/>
          <w:szCs w:val="24"/>
        </w:rPr>
        <w:drawing>
          <wp:anchor distT="0" distB="0" distL="114300" distR="114300" simplePos="0" relativeHeight="251663360" behindDoc="0" locked="0" layoutInCell="1" allowOverlap="1">
            <wp:simplePos x="0" y="0"/>
            <wp:positionH relativeFrom="column">
              <wp:posOffset>855345</wp:posOffset>
            </wp:positionH>
            <wp:positionV relativeFrom="paragraph">
              <wp:posOffset>70485</wp:posOffset>
            </wp:positionV>
            <wp:extent cx="3783330" cy="2113280"/>
            <wp:effectExtent l="19050" t="19050" r="26970" b="20548"/>
            <wp:wrapNone/>
            <wp:docPr id="12" name="图片 23" descr="E:\五台非煤报告\2020年工作\五台安顺源三合一方案\收集\鑫海照片\DJI_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3" descr="E:\五台非煤报告\2020年工作\五台安顺源三合一方案\收集\鑫海照片\DJI_0007.JPG"/>
                    <pic:cNvPicPr>
                      <a:picLocks noChangeAspect="1" noChangeArrowheads="1"/>
                    </pic:cNvPicPr>
                  </pic:nvPicPr>
                  <pic:blipFill>
                    <a:blip r:embed="rId20" cstate="print"/>
                    <a:srcRect/>
                    <a:stretch>
                      <a:fillRect/>
                    </a:stretch>
                  </pic:blipFill>
                  <pic:spPr>
                    <a:xfrm>
                      <a:off x="0" y="0"/>
                      <a:ext cx="3783030" cy="2113052"/>
                    </a:xfrm>
                    <a:prstGeom prst="rect">
                      <a:avLst/>
                    </a:prstGeom>
                    <a:noFill/>
                    <a:ln w="9525">
                      <a:solidFill>
                        <a:schemeClr val="tx1"/>
                      </a:solidFill>
                      <a:miter lim="800000"/>
                      <a:headEnd/>
                      <a:tailEnd/>
                    </a:ln>
                  </pic:spPr>
                </pic:pic>
              </a:graphicData>
            </a:graphic>
          </wp:anchor>
        </w:drawing>
      </w:r>
    </w:p>
    <w:p>
      <w:pPr>
        <w:widowControl/>
        <w:jc w:val="left"/>
        <w:rPr>
          <w:rFonts w:ascii="Times New Roman" w:hAnsi="Times New Roman"/>
          <w:kern w:val="0"/>
          <w:szCs w:val="24"/>
        </w:rPr>
      </w:pPr>
    </w:p>
    <w:p>
      <w:pPr>
        <w:widowControl/>
        <w:jc w:val="left"/>
        <w:rPr>
          <w:rFonts w:ascii="Times New Roman" w:hAnsi="Times New Roman"/>
          <w:kern w:val="0"/>
          <w:szCs w:val="24"/>
        </w:rPr>
      </w:pPr>
    </w:p>
    <w:p>
      <w:pPr>
        <w:widowControl/>
        <w:jc w:val="left"/>
        <w:rPr>
          <w:rFonts w:ascii="Times New Roman" w:hAnsi="Times New Roman"/>
          <w:kern w:val="0"/>
          <w:szCs w:val="24"/>
        </w:rPr>
      </w:pPr>
    </w:p>
    <w:p>
      <w:pPr>
        <w:widowControl/>
        <w:jc w:val="left"/>
        <w:rPr>
          <w:rFonts w:ascii="Times New Roman" w:hAnsi="Times New Roman"/>
          <w:kern w:val="0"/>
          <w:szCs w:val="24"/>
        </w:rPr>
      </w:pPr>
    </w:p>
    <w:p>
      <w:pPr>
        <w:widowControl/>
        <w:jc w:val="left"/>
        <w:rPr>
          <w:rFonts w:ascii="Times New Roman" w:hAnsi="Times New Roman"/>
          <w:kern w:val="0"/>
          <w:szCs w:val="24"/>
        </w:rPr>
      </w:pPr>
    </w:p>
    <w:p>
      <w:pPr>
        <w:widowControl/>
        <w:jc w:val="left"/>
        <w:rPr>
          <w:rFonts w:ascii="Times New Roman" w:hAnsi="Times New Roman"/>
          <w:kern w:val="0"/>
          <w:szCs w:val="24"/>
        </w:rPr>
      </w:pPr>
      <w:r>
        <w:rPr>
          <w:rFonts w:ascii="Times New Roman" w:hAnsi="Times New Roman"/>
          <w:kern w:val="0"/>
          <w:szCs w:val="24"/>
        </w:rPr>
        <w:br w:type="textWrapping"/>
      </w:r>
      <w:r>
        <w:rPr>
          <w:rFonts w:ascii="Times New Roman" w:hAnsi="Times New Roman"/>
          <w:kern w:val="0"/>
          <w:szCs w:val="24"/>
        </w:rPr>
        <w:t>2.</w:t>
      </w:r>
      <w:r>
        <w:rPr>
          <w:rFonts w:hint="eastAsia" w:ascii="Times New Roman" w:hAnsi="Times New Roman"/>
          <w:kern w:val="0"/>
          <w:szCs w:val="24"/>
        </w:rPr>
        <w:t xml:space="preserve"> 工业场地</w:t>
      </w:r>
    </w:p>
    <w:p>
      <w:pPr>
        <w:pStyle w:val="2"/>
        <w:rPr>
          <w:rFonts w:ascii="Times New Roman" w:hAnsi="Times New Roman"/>
          <w:kern w:val="0"/>
          <w:szCs w:val="24"/>
        </w:rPr>
      </w:pPr>
      <w:r>
        <w:rPr>
          <w:rFonts w:hint="eastAsia"/>
        </w:rPr>
        <w:t>矿山</w:t>
      </w:r>
      <w:r>
        <w:t>的工业广场位于矿区西北部沟谷缓坡处，占地面</w:t>
      </w:r>
      <w:r>
        <w:rPr>
          <w:rFonts w:ascii="Times New Roman" w:hAnsi="Times New Roman" w:cs="Times New Roman"/>
          <w:spacing w:val="0"/>
          <w:kern w:val="0"/>
          <w:szCs w:val="24"/>
        </w:rPr>
        <w:t>积约</w:t>
      </w:r>
      <w:r>
        <w:rPr>
          <w:rFonts w:hint="eastAsia" w:ascii="Times New Roman" w:hAnsi="Times New Roman" w:cs="Times New Roman"/>
          <w:spacing w:val="0"/>
          <w:kern w:val="0"/>
          <w:szCs w:val="24"/>
        </w:rPr>
        <w:t>0.0</w:t>
      </w:r>
      <w:r>
        <w:rPr>
          <w:rFonts w:ascii="Times New Roman" w:hAnsi="Times New Roman" w:cs="Times New Roman"/>
          <w:spacing w:val="0"/>
          <w:kern w:val="0"/>
          <w:szCs w:val="24"/>
        </w:rPr>
        <w:t>491</w:t>
      </w:r>
      <w:r>
        <w:rPr>
          <w:rFonts w:hint="eastAsia" w:ascii="Times New Roman" w:hAnsi="Times New Roman" w:cs="Times New Roman"/>
          <w:spacing w:val="0"/>
          <w:kern w:val="0"/>
          <w:szCs w:val="24"/>
        </w:rPr>
        <w:t>h</w:t>
      </w:r>
      <w:r>
        <w:rPr>
          <w:rFonts w:ascii="Times New Roman" w:hAnsi="Times New Roman" w:cs="Times New Roman"/>
          <w:spacing w:val="0"/>
          <w:kern w:val="0"/>
          <w:szCs w:val="24"/>
        </w:rPr>
        <w:t>m</w:t>
      </w:r>
      <w:r>
        <w:rPr>
          <w:rFonts w:ascii="Times New Roman" w:hAnsi="Times New Roman" w:cs="Times New Roman"/>
          <w:spacing w:val="0"/>
          <w:kern w:val="0"/>
          <w:szCs w:val="24"/>
          <w:vertAlign w:val="superscript"/>
        </w:rPr>
        <w:t>2</w:t>
      </w:r>
      <w:r>
        <w:rPr>
          <w:rFonts w:ascii="Times New Roman" w:hAnsi="Times New Roman" w:cs="Times New Roman"/>
          <w:spacing w:val="0"/>
          <w:kern w:val="0"/>
          <w:szCs w:val="24"/>
        </w:rPr>
        <w:t>。场地内局部为封闭式</w:t>
      </w:r>
      <w:r>
        <w:rPr>
          <w:rFonts w:hint="eastAsia" w:ascii="Times New Roman" w:hAnsi="Times New Roman" w:cs="Times New Roman"/>
          <w:spacing w:val="0"/>
          <w:kern w:val="0"/>
          <w:szCs w:val="24"/>
        </w:rPr>
        <w:t>，</w:t>
      </w:r>
      <w:r>
        <w:rPr>
          <w:rFonts w:ascii="Times New Roman" w:hAnsi="Times New Roman"/>
          <w:kern w:val="0"/>
          <w:szCs w:val="24"/>
        </w:rPr>
        <w:t>采取了一定的措施预防水土流失</w:t>
      </w:r>
      <w:r>
        <w:rPr>
          <w:rFonts w:hint="eastAsia" w:ascii="Times New Roman" w:hAnsi="Times New Roman"/>
          <w:kern w:val="0"/>
          <w:szCs w:val="24"/>
        </w:rPr>
        <w:t>，</w:t>
      </w:r>
      <w:r>
        <w:rPr>
          <w:rFonts w:ascii="Times New Roman" w:hAnsi="Times New Roman"/>
          <w:kern w:val="0"/>
          <w:szCs w:val="24"/>
        </w:rPr>
        <w:t>但因场地修建</w:t>
      </w:r>
      <w:r>
        <w:rPr>
          <w:rFonts w:hint="eastAsia" w:ascii="Times New Roman" w:hAnsi="Times New Roman"/>
          <w:kern w:val="0"/>
          <w:szCs w:val="24"/>
        </w:rPr>
        <w:t>，</w:t>
      </w:r>
      <w:r>
        <w:rPr>
          <w:rFonts w:ascii="Times New Roman" w:hAnsi="Times New Roman"/>
          <w:kern w:val="0"/>
          <w:szCs w:val="24"/>
        </w:rPr>
        <w:t>挖损大部地段植被及地</w:t>
      </w:r>
      <w:r>
        <w:rPr>
          <w:rFonts w:hint="eastAsia" w:ascii="Times New Roman" w:hAnsi="Times New Roman"/>
          <w:kern w:val="0"/>
          <w:szCs w:val="24"/>
        </w:rPr>
        <w:t>形，</w:t>
      </w:r>
      <w:r>
        <w:rPr>
          <w:rFonts w:hint="eastAsia" w:ascii="Times New Roman" w:hAnsi="Times New Roman" w:cs="Times New Roman"/>
          <w:spacing w:val="0"/>
          <w:kern w:val="0"/>
          <w:szCs w:val="24"/>
        </w:rPr>
        <w:t>部分</w:t>
      </w:r>
      <w:r>
        <w:rPr>
          <w:rFonts w:ascii="Times New Roman" w:hAnsi="Times New Roman" w:cs="Times New Roman"/>
          <w:spacing w:val="0"/>
          <w:kern w:val="0"/>
          <w:szCs w:val="24"/>
        </w:rPr>
        <w:t>设备及成品裸露</w:t>
      </w:r>
      <w:r>
        <w:rPr>
          <w:rFonts w:hint="eastAsia" w:ascii="Times New Roman" w:hAnsi="Times New Roman" w:cs="Times New Roman"/>
          <w:spacing w:val="0"/>
          <w:kern w:val="0"/>
          <w:szCs w:val="24"/>
        </w:rPr>
        <w:t>，</w:t>
      </w:r>
      <w:r>
        <w:rPr>
          <w:bCs/>
        </w:rPr>
        <w:t>植被覆盖率极低，场地内明显存在边坡裸露等情况</w:t>
      </w:r>
      <w:r>
        <w:rPr>
          <w:rFonts w:hint="eastAsia"/>
          <w:bCs/>
        </w:rPr>
        <w:t>，</w:t>
      </w:r>
      <w:r>
        <w:rPr>
          <w:rFonts w:ascii="Times New Roman" w:hAnsi="Times New Roman"/>
          <w:kern w:val="0"/>
          <w:szCs w:val="24"/>
        </w:rPr>
        <w:t>水土流失严重</w:t>
      </w:r>
      <w:r>
        <w:rPr>
          <w:rFonts w:hint="eastAsia" w:ascii="Times New Roman" w:hAnsi="Times New Roman"/>
          <w:kern w:val="0"/>
          <w:szCs w:val="24"/>
        </w:rPr>
        <w:t>-</w:t>
      </w:r>
      <w:r>
        <w:rPr>
          <w:rFonts w:ascii="Times New Roman" w:hAnsi="Times New Roman"/>
          <w:kern w:val="0"/>
          <w:szCs w:val="24"/>
        </w:rPr>
        <w:t>较严重</w:t>
      </w:r>
      <w:r>
        <w:rPr>
          <w:rFonts w:hint="eastAsia" w:ascii="Times New Roman" w:hAnsi="Times New Roman"/>
          <w:kern w:val="0"/>
          <w:szCs w:val="24"/>
        </w:rPr>
        <w:t>。</w:t>
      </w:r>
    </w:p>
    <w:p>
      <w:pPr>
        <w:pStyle w:val="2"/>
      </w:pPr>
      <w:r>
        <w:t>现场调查如下图所示：</w:t>
      </w:r>
    </w:p>
    <w:p>
      <w:pPr>
        <w:pStyle w:val="2"/>
        <w:ind w:firstLine="0"/>
      </w:pPr>
      <w:r>
        <w:rPr>
          <w:rFonts w:hint="eastAsia"/>
        </w:rPr>
        <w:drawing>
          <wp:anchor distT="0" distB="0" distL="114300" distR="114300" simplePos="0" relativeHeight="251662336" behindDoc="0" locked="0" layoutInCell="1" allowOverlap="1">
            <wp:simplePos x="0" y="0"/>
            <wp:positionH relativeFrom="column">
              <wp:posOffset>930275</wp:posOffset>
            </wp:positionH>
            <wp:positionV relativeFrom="paragraph">
              <wp:posOffset>86995</wp:posOffset>
            </wp:positionV>
            <wp:extent cx="3681730" cy="2070100"/>
            <wp:effectExtent l="19050" t="19050" r="14018" b="25160"/>
            <wp:wrapNone/>
            <wp:docPr id="22" name="图片 22" descr="E:\五台非煤报告\2020年工作\五台安顺源三合一方案\收集\鑫海照片\DJI_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E:\五台非煤报告\2020年工作\五台安顺源三合一方案\收集\鑫海照片\DJI_0010.JPG"/>
                    <pic:cNvPicPr>
                      <a:picLocks noChangeAspect="1" noChangeArrowheads="1"/>
                    </pic:cNvPicPr>
                  </pic:nvPicPr>
                  <pic:blipFill>
                    <a:blip r:embed="rId21" cstate="print"/>
                    <a:srcRect/>
                    <a:stretch>
                      <a:fillRect/>
                    </a:stretch>
                  </pic:blipFill>
                  <pic:spPr>
                    <a:xfrm>
                      <a:off x="0" y="0"/>
                      <a:ext cx="3681682" cy="2070340"/>
                    </a:xfrm>
                    <a:prstGeom prst="rect">
                      <a:avLst/>
                    </a:prstGeom>
                    <a:noFill/>
                    <a:ln w="9525">
                      <a:solidFill>
                        <a:schemeClr val="tx1"/>
                      </a:solidFill>
                      <a:miter lim="800000"/>
                      <a:headEnd/>
                      <a:tailEnd/>
                    </a:ln>
                  </pic:spPr>
                </pic:pic>
              </a:graphicData>
            </a:graphic>
          </wp:anchor>
        </w:drawing>
      </w:r>
    </w:p>
    <w:p>
      <w:pPr>
        <w:pStyle w:val="2"/>
        <w:ind w:firstLine="0"/>
      </w:pPr>
    </w:p>
    <w:p>
      <w:pPr>
        <w:pStyle w:val="2"/>
        <w:ind w:firstLine="0"/>
      </w:pPr>
    </w:p>
    <w:p>
      <w:pPr>
        <w:pStyle w:val="2"/>
        <w:ind w:firstLine="0"/>
      </w:pPr>
    </w:p>
    <w:p>
      <w:pPr>
        <w:pStyle w:val="2"/>
        <w:ind w:firstLine="0"/>
      </w:pPr>
    </w:p>
    <w:p>
      <w:pPr>
        <w:pStyle w:val="2"/>
        <w:ind w:firstLine="0"/>
      </w:pPr>
    </w:p>
    <w:p>
      <w:pPr>
        <w:pStyle w:val="2"/>
        <w:ind w:firstLine="0"/>
      </w:pPr>
    </w:p>
    <w:p>
      <w:pPr>
        <w:pStyle w:val="2"/>
        <w:rPr>
          <w:rFonts w:ascii="Times New Roman" w:hAnsi="Times New Roman" w:cs="Times New Roman"/>
          <w:spacing w:val="0"/>
          <w:kern w:val="0"/>
          <w:szCs w:val="24"/>
        </w:rPr>
      </w:pPr>
      <w:r>
        <w:rPr>
          <w:rFonts w:hint="eastAsia" w:ascii="Times New Roman" w:hAnsi="Times New Roman" w:cs="Times New Roman"/>
          <w:spacing w:val="0"/>
          <w:kern w:val="0"/>
          <w:szCs w:val="24"/>
        </w:rPr>
        <w:t>3.</w:t>
      </w:r>
      <w:r>
        <w:rPr>
          <w:rFonts w:ascii="Times New Roman" w:hAnsi="Times New Roman" w:cs="Times New Roman"/>
          <w:spacing w:val="0"/>
          <w:kern w:val="0"/>
          <w:szCs w:val="24"/>
        </w:rPr>
        <w:t xml:space="preserve"> 料堆</w:t>
      </w:r>
      <w:r>
        <w:rPr>
          <w:rFonts w:hint="eastAsia" w:ascii="Times New Roman" w:hAnsi="Times New Roman" w:cs="Times New Roman"/>
          <w:spacing w:val="0"/>
          <w:kern w:val="0"/>
          <w:szCs w:val="24"/>
        </w:rPr>
        <w:t>、</w:t>
      </w:r>
      <w:r>
        <w:rPr>
          <w:rFonts w:ascii="Times New Roman" w:hAnsi="Times New Roman" w:cs="Times New Roman"/>
          <w:spacing w:val="0"/>
          <w:kern w:val="0"/>
          <w:szCs w:val="24"/>
        </w:rPr>
        <w:t>废渣堆</w:t>
      </w:r>
    </w:p>
    <w:p>
      <w:pPr>
        <w:pStyle w:val="2"/>
        <w:rPr>
          <w:rFonts w:ascii="Times New Roman" w:hAnsi="Times New Roman" w:cs="Times New Roman"/>
          <w:spacing w:val="0"/>
          <w:kern w:val="0"/>
          <w:szCs w:val="24"/>
        </w:rPr>
      </w:pPr>
      <w:r>
        <w:rPr>
          <w:rFonts w:ascii="Times New Roman" w:hAnsi="Times New Roman"/>
          <w:kern w:val="0"/>
          <w:szCs w:val="24"/>
        </w:rPr>
        <w:t>现状条件下矿山尚未修建规范的废渣场，生产的废渣就近堆放于矿界外工业广场西北部沟谷内，占地面积约</w:t>
      </w:r>
      <w:r>
        <w:rPr>
          <w:rFonts w:hint="eastAsia" w:ascii="Times New Roman" w:hAnsi="Times New Roman"/>
          <w:kern w:val="0"/>
          <w:szCs w:val="24"/>
        </w:rPr>
        <w:t>0.</w:t>
      </w:r>
      <w:r>
        <w:rPr>
          <w:rFonts w:ascii="Times New Roman" w:hAnsi="Times New Roman"/>
          <w:kern w:val="0"/>
          <w:szCs w:val="24"/>
        </w:rPr>
        <w:t>5128</w:t>
      </w:r>
      <w:r>
        <w:rPr>
          <w:rFonts w:hint="eastAsia" w:ascii="Times New Roman" w:hAnsi="Times New Roman"/>
          <w:kern w:val="0"/>
          <w:szCs w:val="24"/>
        </w:rPr>
        <w:t>h</w:t>
      </w:r>
      <w:r>
        <w:rPr>
          <w:rFonts w:ascii="Times New Roman" w:hAnsi="Times New Roman"/>
          <w:kern w:val="0"/>
          <w:szCs w:val="24"/>
        </w:rPr>
        <w:t>m</w:t>
      </w:r>
      <w:r>
        <w:rPr>
          <w:rFonts w:ascii="Times New Roman" w:hAnsi="Times New Roman"/>
          <w:kern w:val="0"/>
          <w:szCs w:val="24"/>
          <w:vertAlign w:val="superscript"/>
        </w:rPr>
        <w:t>2</w:t>
      </w:r>
      <w:r>
        <w:rPr>
          <w:rFonts w:ascii="Times New Roman" w:hAnsi="Times New Roman"/>
          <w:kern w:val="0"/>
          <w:szCs w:val="24"/>
        </w:rPr>
        <w:t>。</w:t>
      </w:r>
      <w:r>
        <w:rPr>
          <w:rFonts w:ascii="Times New Roman" w:hAnsi="Times New Roman" w:cs="Times New Roman"/>
          <w:spacing w:val="0"/>
          <w:kern w:val="0"/>
          <w:szCs w:val="24"/>
        </w:rPr>
        <w:t>矿山有两处料堆顺沟谷一堆放在矿区西部，其中料堆一区占地面积约</w:t>
      </w:r>
      <w:r>
        <w:rPr>
          <w:rFonts w:hint="eastAsia" w:ascii="Times New Roman" w:hAnsi="Times New Roman" w:cs="Times New Roman"/>
          <w:spacing w:val="0"/>
          <w:kern w:val="0"/>
          <w:szCs w:val="24"/>
        </w:rPr>
        <w:t>0.</w:t>
      </w:r>
      <w:r>
        <w:rPr>
          <w:rFonts w:ascii="Times New Roman" w:hAnsi="Times New Roman" w:cs="Times New Roman"/>
          <w:spacing w:val="0"/>
          <w:kern w:val="0"/>
          <w:szCs w:val="24"/>
        </w:rPr>
        <w:t>6588</w:t>
      </w:r>
      <w:r>
        <w:rPr>
          <w:rFonts w:hint="eastAsia" w:ascii="Times New Roman" w:hAnsi="Times New Roman" w:cs="Times New Roman"/>
          <w:spacing w:val="0"/>
          <w:kern w:val="0"/>
          <w:szCs w:val="24"/>
        </w:rPr>
        <w:t>h</w:t>
      </w:r>
      <w:r>
        <w:rPr>
          <w:rFonts w:ascii="Times New Roman" w:hAnsi="Times New Roman" w:cs="Times New Roman"/>
          <w:spacing w:val="0"/>
          <w:kern w:val="0"/>
          <w:szCs w:val="24"/>
        </w:rPr>
        <w:t>m</w:t>
      </w:r>
      <w:r>
        <w:rPr>
          <w:rFonts w:ascii="Times New Roman" w:hAnsi="Times New Roman" w:cs="Times New Roman"/>
          <w:spacing w:val="0"/>
          <w:kern w:val="0"/>
          <w:szCs w:val="24"/>
          <w:vertAlign w:val="superscript"/>
        </w:rPr>
        <w:t>2</w:t>
      </w:r>
      <w:r>
        <w:rPr>
          <w:rFonts w:ascii="Times New Roman" w:hAnsi="Times New Roman" w:cs="Times New Roman"/>
          <w:spacing w:val="0"/>
          <w:kern w:val="0"/>
          <w:szCs w:val="24"/>
        </w:rPr>
        <w:t>，料堆二区占地面积约</w:t>
      </w:r>
      <w:r>
        <w:rPr>
          <w:rFonts w:hint="eastAsia" w:ascii="Times New Roman" w:hAnsi="Times New Roman" w:cs="Times New Roman"/>
          <w:spacing w:val="0"/>
          <w:kern w:val="0"/>
          <w:szCs w:val="24"/>
        </w:rPr>
        <w:t>0.</w:t>
      </w:r>
      <w:r>
        <w:rPr>
          <w:rFonts w:ascii="Times New Roman" w:hAnsi="Times New Roman" w:cs="Times New Roman"/>
          <w:spacing w:val="0"/>
          <w:kern w:val="0"/>
          <w:szCs w:val="24"/>
        </w:rPr>
        <w:t>4063</w:t>
      </w:r>
      <w:r>
        <w:rPr>
          <w:rFonts w:hint="eastAsia" w:ascii="Times New Roman" w:hAnsi="Times New Roman" w:cs="Times New Roman"/>
          <w:spacing w:val="0"/>
          <w:kern w:val="0"/>
          <w:szCs w:val="24"/>
        </w:rPr>
        <w:t>h</w:t>
      </w:r>
      <w:r>
        <w:rPr>
          <w:rFonts w:ascii="Times New Roman" w:hAnsi="Times New Roman" w:cs="Times New Roman"/>
          <w:spacing w:val="0"/>
          <w:kern w:val="0"/>
          <w:szCs w:val="24"/>
        </w:rPr>
        <w:t>m</w:t>
      </w:r>
      <w:r>
        <w:rPr>
          <w:rFonts w:ascii="Times New Roman" w:hAnsi="Times New Roman" w:cs="Times New Roman"/>
          <w:spacing w:val="0"/>
          <w:kern w:val="0"/>
          <w:szCs w:val="24"/>
          <w:vertAlign w:val="superscript"/>
        </w:rPr>
        <w:t>2</w:t>
      </w:r>
      <w:r>
        <w:rPr>
          <w:rFonts w:hint="eastAsia" w:ascii="Times New Roman" w:hAnsi="Times New Roman" w:cs="Times New Roman"/>
          <w:spacing w:val="0"/>
          <w:kern w:val="0"/>
          <w:szCs w:val="24"/>
        </w:rPr>
        <w:t>，</w:t>
      </w:r>
      <w:r>
        <w:rPr>
          <w:rFonts w:ascii="Times New Roman" w:hAnsi="Times New Roman"/>
          <w:kern w:val="0"/>
          <w:szCs w:val="24"/>
        </w:rPr>
        <w:t>水土流失严重</w:t>
      </w:r>
      <w:r>
        <w:rPr>
          <w:rFonts w:hint="eastAsia" w:ascii="Times New Roman" w:hAnsi="Times New Roman"/>
          <w:kern w:val="0"/>
          <w:szCs w:val="24"/>
        </w:rPr>
        <w:t>-</w:t>
      </w:r>
      <w:r>
        <w:rPr>
          <w:rFonts w:ascii="Times New Roman" w:hAnsi="Times New Roman"/>
          <w:kern w:val="0"/>
          <w:szCs w:val="24"/>
        </w:rPr>
        <w:t>较严重</w:t>
      </w:r>
      <w:r>
        <w:rPr>
          <w:rFonts w:ascii="Times New Roman" w:hAnsi="Times New Roman" w:cs="Times New Roman"/>
          <w:spacing w:val="0"/>
          <w:kern w:val="0"/>
          <w:szCs w:val="24"/>
        </w:rPr>
        <w:t>。</w:t>
      </w:r>
    </w:p>
    <w:p>
      <w:pPr>
        <w:pStyle w:val="2"/>
        <w:rPr>
          <w:rFonts w:ascii="Times New Roman" w:hAnsi="Times New Roman" w:cs="Times New Roman"/>
          <w:spacing w:val="0"/>
          <w:kern w:val="0"/>
          <w:szCs w:val="24"/>
        </w:rPr>
      </w:pPr>
      <w:r>
        <w:t>现场调查如下图所示：</w:t>
      </w:r>
    </w:p>
    <w:p>
      <w:pPr>
        <w:pStyle w:val="2"/>
        <w:rPr>
          <w:rFonts w:ascii="Times New Roman" w:hAnsi="Times New Roman" w:cs="Times New Roman"/>
          <w:spacing w:val="0"/>
          <w:kern w:val="0"/>
          <w:szCs w:val="24"/>
        </w:rPr>
      </w:pPr>
      <w:r>
        <w:rPr>
          <w:rFonts w:hint="eastAsia" w:ascii="Times New Roman" w:hAnsi="Times New Roman" w:cs="Times New Roman"/>
          <w:spacing w:val="0"/>
          <w:kern w:val="0"/>
          <w:szCs w:val="24"/>
        </w:rPr>
        <w:drawing>
          <wp:anchor distT="0" distB="0" distL="114300" distR="114300" simplePos="0" relativeHeight="251664384" behindDoc="0" locked="0" layoutInCell="1" allowOverlap="1">
            <wp:simplePos x="0" y="0"/>
            <wp:positionH relativeFrom="column">
              <wp:posOffset>1051560</wp:posOffset>
            </wp:positionH>
            <wp:positionV relativeFrom="paragraph">
              <wp:posOffset>120650</wp:posOffset>
            </wp:positionV>
            <wp:extent cx="3722370" cy="2091055"/>
            <wp:effectExtent l="19050" t="19050" r="11154" b="23196"/>
            <wp:wrapNone/>
            <wp:docPr id="13" name="图片 24" descr="E:\五台非煤报告\2020年工作\五台安顺源三合一方案\收集\鑫海照片\DJI_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4" descr="E:\五台非煤报告\2020年工作\五台安顺源三合一方案\收集\鑫海照片\DJI_0005.JPG"/>
                    <pic:cNvPicPr>
                      <a:picLocks noChangeAspect="1" noChangeArrowheads="1"/>
                    </pic:cNvPicPr>
                  </pic:nvPicPr>
                  <pic:blipFill>
                    <a:blip r:embed="rId22" cstate="print"/>
                    <a:srcRect/>
                    <a:stretch>
                      <a:fillRect/>
                    </a:stretch>
                  </pic:blipFill>
                  <pic:spPr>
                    <a:xfrm>
                      <a:off x="0" y="0"/>
                      <a:ext cx="3722646" cy="2091354"/>
                    </a:xfrm>
                    <a:prstGeom prst="rect">
                      <a:avLst/>
                    </a:prstGeom>
                    <a:noFill/>
                    <a:ln w="9525">
                      <a:solidFill>
                        <a:schemeClr val="tx1"/>
                      </a:solidFill>
                      <a:miter lim="800000"/>
                      <a:headEnd/>
                      <a:tailEnd/>
                    </a:ln>
                  </pic:spPr>
                </pic:pic>
              </a:graphicData>
            </a:graphic>
          </wp:anchor>
        </w:drawing>
      </w:r>
    </w:p>
    <w:p>
      <w:pPr>
        <w:pStyle w:val="2"/>
        <w:rPr>
          <w:rFonts w:ascii="Times New Roman" w:hAnsi="Times New Roman" w:cs="Times New Roman"/>
          <w:spacing w:val="0"/>
          <w:kern w:val="0"/>
          <w:szCs w:val="24"/>
        </w:rPr>
      </w:pPr>
    </w:p>
    <w:p>
      <w:pPr>
        <w:pStyle w:val="2"/>
        <w:rPr>
          <w:rFonts w:ascii="Times New Roman" w:hAnsi="Times New Roman" w:cs="Times New Roman"/>
          <w:spacing w:val="0"/>
          <w:kern w:val="0"/>
          <w:szCs w:val="24"/>
        </w:rPr>
      </w:pPr>
    </w:p>
    <w:p>
      <w:pPr>
        <w:pStyle w:val="2"/>
        <w:rPr>
          <w:rFonts w:ascii="Times New Roman" w:hAnsi="Times New Roman" w:cs="Times New Roman"/>
          <w:spacing w:val="0"/>
          <w:kern w:val="0"/>
          <w:szCs w:val="24"/>
        </w:rPr>
      </w:pPr>
    </w:p>
    <w:p>
      <w:pPr>
        <w:pStyle w:val="2"/>
        <w:rPr>
          <w:rFonts w:ascii="Times New Roman" w:hAnsi="Times New Roman" w:cs="Times New Roman"/>
          <w:spacing w:val="0"/>
          <w:kern w:val="0"/>
          <w:szCs w:val="24"/>
        </w:rPr>
      </w:pPr>
    </w:p>
    <w:p>
      <w:pPr>
        <w:pStyle w:val="2"/>
        <w:rPr>
          <w:rFonts w:ascii="Times New Roman" w:hAnsi="Times New Roman" w:cs="Times New Roman"/>
          <w:spacing w:val="0"/>
          <w:kern w:val="0"/>
          <w:szCs w:val="24"/>
        </w:rPr>
      </w:pPr>
    </w:p>
    <w:p>
      <w:pPr>
        <w:pStyle w:val="2"/>
        <w:rPr>
          <w:rFonts w:ascii="Times New Roman" w:hAnsi="Times New Roman" w:cs="Times New Roman"/>
          <w:spacing w:val="0"/>
          <w:kern w:val="0"/>
          <w:szCs w:val="24"/>
        </w:rPr>
      </w:pPr>
    </w:p>
    <w:p>
      <w:pPr>
        <w:pStyle w:val="2"/>
        <w:jc w:val="center"/>
        <w:rPr>
          <w:rFonts w:ascii="Times New Roman" w:hAnsi="Times New Roman" w:cs="Times New Roman"/>
          <w:b/>
          <w:spacing w:val="0"/>
          <w:kern w:val="0"/>
          <w:szCs w:val="24"/>
        </w:rPr>
      </w:pPr>
      <w:r>
        <w:rPr>
          <w:rFonts w:hint="eastAsia" w:ascii="Times New Roman" w:hAnsi="Times New Roman" w:cs="Times New Roman"/>
          <w:b/>
          <w:spacing w:val="0"/>
          <w:kern w:val="0"/>
          <w:szCs w:val="24"/>
        </w:rPr>
        <w:t>废渣堆</w:t>
      </w:r>
    </w:p>
    <w:p>
      <w:pPr>
        <w:pStyle w:val="2"/>
        <w:rPr>
          <w:rFonts w:ascii="Times New Roman" w:hAnsi="Times New Roman" w:cs="Times New Roman"/>
          <w:spacing w:val="0"/>
          <w:kern w:val="0"/>
          <w:szCs w:val="24"/>
        </w:rPr>
      </w:pPr>
      <w:r>
        <w:rPr>
          <w:rFonts w:hint="eastAsia" w:ascii="Times New Roman" w:hAnsi="Times New Roman" w:cs="Times New Roman"/>
          <w:spacing w:val="0"/>
          <w:kern w:val="0"/>
          <w:szCs w:val="24"/>
        </w:rPr>
        <w:drawing>
          <wp:anchor distT="0" distB="0" distL="114300" distR="114300" simplePos="0" relativeHeight="251665408" behindDoc="0" locked="0" layoutInCell="1" allowOverlap="1">
            <wp:simplePos x="0" y="0"/>
            <wp:positionH relativeFrom="column">
              <wp:posOffset>1051560</wp:posOffset>
            </wp:positionH>
            <wp:positionV relativeFrom="paragraph">
              <wp:posOffset>56515</wp:posOffset>
            </wp:positionV>
            <wp:extent cx="3769360" cy="2118360"/>
            <wp:effectExtent l="19050" t="19050" r="21890" b="15468"/>
            <wp:wrapNone/>
            <wp:docPr id="15" name="图片 25" descr="E:\五台非煤报告\2020年工作\五台安顺源三合一方案\收集\鑫海照片\DJI_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5" descr="E:\五台非煤报告\2020年工作\五台安顺源三合一方案\收集\鑫海照片\DJI_0011.JPG"/>
                    <pic:cNvPicPr>
                      <a:picLocks noChangeAspect="1" noChangeArrowheads="1"/>
                    </pic:cNvPicPr>
                  </pic:nvPicPr>
                  <pic:blipFill>
                    <a:blip r:embed="rId23" cstate="print"/>
                    <a:srcRect/>
                    <a:stretch>
                      <a:fillRect/>
                    </a:stretch>
                  </pic:blipFill>
                  <pic:spPr>
                    <a:xfrm>
                      <a:off x="0" y="0"/>
                      <a:ext cx="3769060" cy="2118132"/>
                    </a:xfrm>
                    <a:prstGeom prst="rect">
                      <a:avLst/>
                    </a:prstGeom>
                    <a:noFill/>
                    <a:ln w="9525">
                      <a:solidFill>
                        <a:schemeClr val="tx1"/>
                      </a:solidFill>
                      <a:miter lim="800000"/>
                      <a:headEnd/>
                      <a:tailEnd/>
                    </a:ln>
                  </pic:spPr>
                </pic:pic>
              </a:graphicData>
            </a:graphic>
          </wp:anchor>
        </w:drawing>
      </w:r>
    </w:p>
    <w:p>
      <w:pPr>
        <w:pStyle w:val="2"/>
        <w:rPr>
          <w:rFonts w:ascii="Times New Roman" w:hAnsi="Times New Roman" w:cs="Times New Roman"/>
          <w:spacing w:val="0"/>
          <w:kern w:val="0"/>
          <w:szCs w:val="24"/>
        </w:rPr>
      </w:pPr>
    </w:p>
    <w:p>
      <w:pPr>
        <w:pStyle w:val="2"/>
        <w:rPr>
          <w:rFonts w:ascii="Times New Roman" w:hAnsi="Times New Roman" w:cs="Times New Roman"/>
          <w:spacing w:val="0"/>
          <w:kern w:val="0"/>
          <w:szCs w:val="24"/>
        </w:rPr>
      </w:pPr>
    </w:p>
    <w:p>
      <w:pPr>
        <w:pStyle w:val="2"/>
        <w:rPr>
          <w:rFonts w:ascii="Times New Roman" w:hAnsi="Times New Roman" w:cs="Times New Roman"/>
          <w:spacing w:val="0"/>
          <w:kern w:val="0"/>
          <w:szCs w:val="24"/>
        </w:rPr>
      </w:pPr>
    </w:p>
    <w:p>
      <w:pPr>
        <w:pStyle w:val="2"/>
        <w:rPr>
          <w:rFonts w:ascii="Times New Roman" w:hAnsi="Times New Roman" w:cs="Times New Roman"/>
          <w:spacing w:val="0"/>
          <w:kern w:val="0"/>
          <w:szCs w:val="24"/>
        </w:rPr>
      </w:pPr>
    </w:p>
    <w:p>
      <w:pPr>
        <w:pStyle w:val="2"/>
        <w:rPr>
          <w:rFonts w:ascii="Times New Roman" w:hAnsi="Times New Roman" w:cs="Times New Roman"/>
          <w:spacing w:val="0"/>
          <w:kern w:val="0"/>
          <w:szCs w:val="24"/>
        </w:rPr>
      </w:pPr>
    </w:p>
    <w:p>
      <w:pPr>
        <w:pStyle w:val="2"/>
        <w:rPr>
          <w:rFonts w:ascii="Times New Roman" w:hAnsi="Times New Roman" w:cs="Times New Roman"/>
          <w:spacing w:val="0"/>
          <w:kern w:val="0"/>
          <w:szCs w:val="24"/>
        </w:rPr>
      </w:pPr>
    </w:p>
    <w:p>
      <w:pPr>
        <w:pStyle w:val="2"/>
        <w:jc w:val="center"/>
        <w:rPr>
          <w:rFonts w:ascii="Times New Roman" w:hAnsi="Times New Roman" w:cs="Times New Roman"/>
          <w:b/>
          <w:spacing w:val="0"/>
          <w:kern w:val="0"/>
          <w:szCs w:val="24"/>
        </w:rPr>
      </w:pPr>
      <w:r>
        <w:rPr>
          <w:rFonts w:hint="eastAsia" w:ascii="Times New Roman" w:hAnsi="Times New Roman" w:cs="Times New Roman"/>
          <w:b/>
          <w:spacing w:val="0"/>
          <w:kern w:val="0"/>
          <w:szCs w:val="24"/>
        </w:rPr>
        <w:t>料堆</w:t>
      </w:r>
    </w:p>
    <w:p>
      <w:pPr>
        <w:pStyle w:val="2"/>
        <w:rPr>
          <w:rFonts w:ascii="Times New Roman" w:hAnsi="Times New Roman" w:cs="Times New Roman"/>
          <w:spacing w:val="0"/>
          <w:kern w:val="0"/>
          <w:szCs w:val="24"/>
        </w:rPr>
      </w:pPr>
      <w:r>
        <w:rPr>
          <w:rFonts w:hint="eastAsia" w:ascii="Times New Roman" w:hAnsi="Times New Roman" w:cs="Times New Roman"/>
          <w:spacing w:val="0"/>
          <w:kern w:val="0"/>
          <w:szCs w:val="24"/>
        </w:rPr>
        <w:t>4.办公生活区</w:t>
      </w:r>
    </w:p>
    <w:p>
      <w:pPr>
        <w:pStyle w:val="2"/>
        <w:rPr>
          <w:rFonts w:ascii="Times New Roman" w:hAnsi="Times New Roman"/>
          <w:kern w:val="0"/>
          <w:szCs w:val="24"/>
        </w:rPr>
      </w:pPr>
      <w:r>
        <w:rPr>
          <w:rFonts w:ascii="Times New Roman" w:hAnsi="Times New Roman" w:cs="Times New Roman"/>
          <w:spacing w:val="0"/>
          <w:kern w:val="0"/>
          <w:szCs w:val="24"/>
        </w:rPr>
        <w:t>矿山实际生产中的办公生活区位于矿区西部沟谷缓坡处，工业广场的西南部，占地面积约</w:t>
      </w:r>
      <w:r>
        <w:rPr>
          <w:rFonts w:hint="eastAsia" w:ascii="Times New Roman" w:hAnsi="Times New Roman" w:cs="Times New Roman"/>
          <w:spacing w:val="0"/>
          <w:kern w:val="0"/>
          <w:szCs w:val="24"/>
        </w:rPr>
        <w:t>0.0</w:t>
      </w:r>
      <w:r>
        <w:rPr>
          <w:rFonts w:ascii="Times New Roman" w:hAnsi="Times New Roman" w:cs="Times New Roman"/>
          <w:spacing w:val="0"/>
          <w:kern w:val="0"/>
          <w:szCs w:val="24"/>
        </w:rPr>
        <w:t>611</w:t>
      </w:r>
      <w:r>
        <w:rPr>
          <w:rFonts w:hint="eastAsia" w:ascii="Times New Roman" w:hAnsi="Times New Roman" w:cs="Times New Roman"/>
          <w:spacing w:val="0"/>
          <w:kern w:val="0"/>
          <w:szCs w:val="24"/>
        </w:rPr>
        <w:t>h</w:t>
      </w:r>
      <w:r>
        <w:rPr>
          <w:rFonts w:ascii="Times New Roman" w:hAnsi="Times New Roman" w:cs="Times New Roman"/>
          <w:spacing w:val="0"/>
          <w:kern w:val="0"/>
          <w:szCs w:val="24"/>
        </w:rPr>
        <w:t>m</w:t>
      </w:r>
      <w:r>
        <w:rPr>
          <w:rFonts w:ascii="Times New Roman" w:hAnsi="Times New Roman" w:cs="Times New Roman"/>
          <w:spacing w:val="0"/>
          <w:kern w:val="0"/>
          <w:szCs w:val="24"/>
          <w:vertAlign w:val="superscript"/>
        </w:rPr>
        <w:t>2</w:t>
      </w:r>
      <w:r>
        <w:rPr>
          <w:rFonts w:ascii="Times New Roman" w:hAnsi="Times New Roman" w:cs="Times New Roman"/>
          <w:spacing w:val="0"/>
          <w:kern w:val="0"/>
          <w:szCs w:val="24"/>
        </w:rPr>
        <w:t>，</w:t>
      </w:r>
      <w:r>
        <w:rPr>
          <w:rFonts w:hint="eastAsia" w:ascii="Times New Roman" w:hAnsi="Times New Roman"/>
          <w:kern w:val="0"/>
          <w:szCs w:val="24"/>
        </w:rPr>
        <w:t>办公</w:t>
      </w:r>
      <w:r>
        <w:rPr>
          <w:rFonts w:ascii="Times New Roman" w:hAnsi="Times New Roman"/>
          <w:kern w:val="0"/>
          <w:szCs w:val="24"/>
        </w:rPr>
        <w:t>区地表植被覆盖率较低，地表裸露，水土流失较严重。</w:t>
      </w:r>
    </w:p>
    <w:p>
      <w:pPr>
        <w:pStyle w:val="2"/>
      </w:pPr>
      <w:r>
        <w:t>现场调查如下图所示：</w:t>
      </w:r>
    </w:p>
    <w:p>
      <w:pPr>
        <w:pStyle w:val="2"/>
      </w:pPr>
    </w:p>
    <w:p>
      <w:pPr>
        <w:pStyle w:val="2"/>
      </w:pPr>
    </w:p>
    <w:p>
      <w:pPr>
        <w:pStyle w:val="2"/>
      </w:pPr>
    </w:p>
    <w:p>
      <w:pPr>
        <w:pStyle w:val="2"/>
      </w:pPr>
    </w:p>
    <w:p>
      <w:pPr>
        <w:pStyle w:val="2"/>
      </w:pPr>
      <w:r>
        <w:drawing>
          <wp:anchor distT="0" distB="0" distL="114300" distR="114300" simplePos="0" relativeHeight="251666432" behindDoc="0" locked="0" layoutInCell="1" allowOverlap="1">
            <wp:simplePos x="0" y="0"/>
            <wp:positionH relativeFrom="column">
              <wp:posOffset>747395</wp:posOffset>
            </wp:positionH>
            <wp:positionV relativeFrom="paragraph">
              <wp:posOffset>168910</wp:posOffset>
            </wp:positionV>
            <wp:extent cx="4026535" cy="2268855"/>
            <wp:effectExtent l="19050" t="19050" r="11862" b="17253"/>
            <wp:wrapNone/>
            <wp:docPr id="26" name="图片 26" descr="E:\五台非煤报告\2020年工作\五台安顺源三合一方案\收集\鑫海照片\DJI_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E:\五台非煤报告\2020年工作\五台安顺源三合一方案\收集\鑫海照片\DJI_0012.JPG"/>
                    <pic:cNvPicPr>
                      <a:picLocks noChangeAspect="1" noChangeArrowheads="1"/>
                    </pic:cNvPicPr>
                  </pic:nvPicPr>
                  <pic:blipFill>
                    <a:blip r:embed="rId24" cstate="print"/>
                    <a:srcRect/>
                    <a:stretch>
                      <a:fillRect/>
                    </a:stretch>
                  </pic:blipFill>
                  <pic:spPr>
                    <a:xfrm>
                      <a:off x="0" y="0"/>
                      <a:ext cx="4026738" cy="2268747"/>
                    </a:xfrm>
                    <a:prstGeom prst="rect">
                      <a:avLst/>
                    </a:prstGeom>
                    <a:noFill/>
                    <a:ln w="9525">
                      <a:solidFill>
                        <a:schemeClr val="tx1"/>
                      </a:solidFill>
                      <a:miter lim="800000"/>
                      <a:headEnd/>
                      <a:tailEnd/>
                    </a:ln>
                  </pic:spPr>
                </pic:pic>
              </a:graphicData>
            </a:graphic>
          </wp:anchor>
        </w:drawing>
      </w:r>
    </w:p>
    <w:p>
      <w:pPr>
        <w:pStyle w:val="2"/>
      </w:pPr>
    </w:p>
    <w:p>
      <w:pPr>
        <w:pStyle w:val="2"/>
        <w:rPr>
          <w:rFonts w:ascii="Times New Roman" w:hAnsi="Times New Roman"/>
          <w:kern w:val="0"/>
          <w:szCs w:val="24"/>
        </w:rPr>
      </w:pPr>
    </w:p>
    <w:p>
      <w:pPr>
        <w:pStyle w:val="2"/>
        <w:rPr>
          <w:rFonts w:ascii="Times New Roman" w:hAnsi="Times New Roman"/>
          <w:kern w:val="0"/>
          <w:szCs w:val="24"/>
        </w:rPr>
      </w:pPr>
    </w:p>
    <w:p>
      <w:pPr>
        <w:pStyle w:val="2"/>
        <w:rPr>
          <w:rFonts w:ascii="Times New Roman" w:hAnsi="Times New Roman"/>
          <w:kern w:val="0"/>
          <w:szCs w:val="24"/>
        </w:rPr>
      </w:pPr>
    </w:p>
    <w:p>
      <w:pPr>
        <w:pStyle w:val="2"/>
        <w:rPr>
          <w:rFonts w:ascii="Times New Roman" w:hAnsi="Times New Roman"/>
          <w:kern w:val="0"/>
          <w:szCs w:val="24"/>
        </w:rPr>
      </w:pPr>
    </w:p>
    <w:p>
      <w:pPr>
        <w:pStyle w:val="2"/>
        <w:rPr>
          <w:rFonts w:ascii="Times New Roman" w:hAnsi="Times New Roman"/>
          <w:kern w:val="0"/>
          <w:szCs w:val="24"/>
        </w:rPr>
      </w:pPr>
    </w:p>
    <w:p>
      <w:pPr>
        <w:pStyle w:val="2"/>
        <w:rPr>
          <w:rFonts w:ascii="Times New Roman" w:hAnsi="Times New Roman" w:cs="Times New Roman"/>
          <w:spacing w:val="0"/>
          <w:kern w:val="0"/>
          <w:szCs w:val="24"/>
        </w:rPr>
      </w:pPr>
    </w:p>
    <w:p>
      <w:pPr>
        <w:pStyle w:val="2"/>
        <w:rPr>
          <w:rFonts w:ascii="Times New Roman" w:hAnsi="Times New Roman" w:cs="Times New Roman"/>
          <w:spacing w:val="0"/>
          <w:kern w:val="0"/>
          <w:szCs w:val="24"/>
        </w:rPr>
      </w:pPr>
      <w:r>
        <w:rPr>
          <w:rFonts w:hint="eastAsia" w:ascii="Times New Roman" w:hAnsi="Times New Roman" w:cs="Times New Roman"/>
          <w:spacing w:val="0"/>
          <w:kern w:val="0"/>
          <w:szCs w:val="24"/>
        </w:rPr>
        <w:t>5.</w:t>
      </w:r>
      <w:r>
        <w:rPr>
          <w:rFonts w:ascii="Times New Roman" w:hAnsi="Times New Roman" w:cs="Times New Roman"/>
          <w:spacing w:val="0"/>
          <w:kern w:val="0"/>
          <w:szCs w:val="24"/>
        </w:rPr>
        <w:t>场内外道路</w:t>
      </w:r>
    </w:p>
    <w:p>
      <w:pPr>
        <w:pStyle w:val="2"/>
        <w:rPr>
          <w:rFonts w:ascii="Times New Roman" w:hAnsi="Times New Roman"/>
          <w:kern w:val="0"/>
          <w:szCs w:val="24"/>
        </w:rPr>
      </w:pPr>
      <w:r>
        <w:rPr>
          <w:rFonts w:ascii="Times New Roman" w:hAnsi="Times New Roman"/>
          <w:kern w:val="0"/>
          <w:szCs w:val="24"/>
        </w:rPr>
        <w:t>目前，矿山由采场到</w:t>
      </w:r>
      <w:r>
        <w:rPr>
          <w:rFonts w:hint="eastAsia" w:ascii="Times New Roman" w:hAnsi="Times New Roman"/>
          <w:kern w:val="0"/>
          <w:szCs w:val="24"/>
        </w:rPr>
        <w:t>工业</w:t>
      </w:r>
      <w:r>
        <w:rPr>
          <w:rFonts w:ascii="Times New Roman" w:hAnsi="Times New Roman"/>
          <w:kern w:val="0"/>
          <w:szCs w:val="24"/>
        </w:rPr>
        <w:t>场地、</w:t>
      </w:r>
      <w:r>
        <w:rPr>
          <w:rFonts w:hint="eastAsia" w:ascii="Times New Roman" w:hAnsi="Times New Roman"/>
          <w:kern w:val="0"/>
          <w:szCs w:val="24"/>
        </w:rPr>
        <w:t>办公</w:t>
      </w:r>
      <w:r>
        <w:rPr>
          <w:rFonts w:ascii="Times New Roman" w:hAnsi="Times New Roman"/>
          <w:kern w:val="0"/>
          <w:szCs w:val="24"/>
        </w:rPr>
        <w:t>生活区，</w:t>
      </w:r>
      <w:r>
        <w:rPr>
          <w:rFonts w:hint="eastAsia" w:ascii="Times New Roman" w:hAnsi="Times New Roman"/>
          <w:kern w:val="0"/>
          <w:szCs w:val="24"/>
        </w:rPr>
        <w:t>料堆</w:t>
      </w:r>
      <w:r>
        <w:rPr>
          <w:rFonts w:ascii="Times New Roman" w:hAnsi="Times New Roman"/>
          <w:kern w:val="0"/>
          <w:szCs w:val="24"/>
        </w:rPr>
        <w:t>及废渣堆的道路全部为自然土状态，未进行道路硬化处理</w:t>
      </w:r>
      <w:r>
        <w:rPr>
          <w:rFonts w:hint="eastAsia" w:ascii="Times New Roman" w:hAnsi="Times New Roman"/>
          <w:kern w:val="0"/>
          <w:szCs w:val="24"/>
        </w:rPr>
        <w:t>；</w:t>
      </w:r>
      <w:r>
        <w:rPr>
          <w:rFonts w:ascii="Times New Roman" w:hAnsi="Times New Roman"/>
          <w:kern w:val="0"/>
          <w:szCs w:val="24"/>
        </w:rPr>
        <w:t>道路两侧无植物措施，且道路两侧无护坡，未进行任何处理，水土流失防治措施不完善，有待加强。</w:t>
      </w:r>
    </w:p>
    <w:p>
      <w:pPr>
        <w:pStyle w:val="2"/>
        <w:rPr>
          <w:rFonts w:ascii="Times New Roman" w:hAnsi="Times New Roman"/>
          <w:kern w:val="0"/>
          <w:szCs w:val="24"/>
        </w:rPr>
      </w:pPr>
      <w:r>
        <w:rPr>
          <w:rFonts w:ascii="Times New Roman" w:hAnsi="Times New Roman"/>
          <w:kern w:val="0"/>
          <w:szCs w:val="24"/>
        </w:rPr>
        <w:drawing>
          <wp:anchor distT="0" distB="0" distL="114300" distR="114300" simplePos="0" relativeHeight="251667456" behindDoc="0" locked="0" layoutInCell="1" allowOverlap="1">
            <wp:simplePos x="0" y="0"/>
            <wp:positionH relativeFrom="column">
              <wp:posOffset>894080</wp:posOffset>
            </wp:positionH>
            <wp:positionV relativeFrom="paragraph">
              <wp:posOffset>57150</wp:posOffset>
            </wp:positionV>
            <wp:extent cx="3872865" cy="2894965"/>
            <wp:effectExtent l="19050" t="19050" r="13264" b="19544"/>
            <wp:wrapNone/>
            <wp:docPr id="27" name="图片 27" descr="E:\五台非煤报告\2020年工作\五台安顺源三合一方案\收集\鑫海照片\微信图片_202003131446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E:\五台非煤报告\2020年工作\五台安顺源三合一方案\收集\鑫海照片\微信图片_202003131446228.jpg"/>
                    <pic:cNvPicPr>
                      <a:picLocks noChangeAspect="1" noChangeArrowheads="1"/>
                    </pic:cNvPicPr>
                  </pic:nvPicPr>
                  <pic:blipFill>
                    <a:blip r:embed="rId25" cstate="print"/>
                    <a:srcRect/>
                    <a:stretch>
                      <a:fillRect/>
                    </a:stretch>
                  </pic:blipFill>
                  <pic:spPr>
                    <a:xfrm>
                      <a:off x="0" y="0"/>
                      <a:ext cx="3872936" cy="2895106"/>
                    </a:xfrm>
                    <a:prstGeom prst="rect">
                      <a:avLst/>
                    </a:prstGeom>
                    <a:noFill/>
                    <a:ln w="9525">
                      <a:solidFill>
                        <a:schemeClr val="tx1"/>
                      </a:solidFill>
                      <a:miter lim="800000"/>
                      <a:headEnd/>
                      <a:tailEnd/>
                    </a:ln>
                  </pic:spPr>
                </pic:pic>
              </a:graphicData>
            </a:graphic>
          </wp:anchor>
        </w:drawing>
      </w:r>
    </w:p>
    <w:p>
      <w:pPr>
        <w:pStyle w:val="2"/>
        <w:rPr>
          <w:rFonts w:ascii="Times New Roman" w:hAnsi="Times New Roman"/>
          <w:kern w:val="0"/>
          <w:szCs w:val="24"/>
        </w:rPr>
      </w:pPr>
    </w:p>
    <w:p>
      <w:pPr>
        <w:pStyle w:val="2"/>
        <w:rPr>
          <w:rFonts w:ascii="Times New Roman" w:hAnsi="Times New Roman"/>
          <w:kern w:val="0"/>
          <w:szCs w:val="24"/>
        </w:rPr>
      </w:pPr>
    </w:p>
    <w:p>
      <w:pPr>
        <w:pStyle w:val="2"/>
        <w:rPr>
          <w:rFonts w:ascii="Times New Roman" w:hAnsi="Times New Roman"/>
          <w:kern w:val="0"/>
          <w:szCs w:val="24"/>
        </w:rPr>
      </w:pPr>
    </w:p>
    <w:p>
      <w:pPr>
        <w:pStyle w:val="2"/>
        <w:rPr>
          <w:rFonts w:ascii="Times New Roman" w:hAnsi="Times New Roman"/>
          <w:kern w:val="0"/>
          <w:szCs w:val="24"/>
        </w:rPr>
      </w:pPr>
    </w:p>
    <w:p>
      <w:pPr>
        <w:pStyle w:val="2"/>
        <w:rPr>
          <w:rFonts w:ascii="Times New Roman" w:hAnsi="Times New Roman"/>
          <w:kern w:val="0"/>
          <w:szCs w:val="24"/>
        </w:rPr>
      </w:pPr>
    </w:p>
    <w:p>
      <w:pPr>
        <w:pStyle w:val="2"/>
        <w:rPr>
          <w:rFonts w:ascii="Times New Roman" w:hAnsi="Times New Roman"/>
          <w:kern w:val="0"/>
          <w:szCs w:val="24"/>
        </w:rPr>
      </w:pPr>
    </w:p>
    <w:p>
      <w:pPr>
        <w:pStyle w:val="2"/>
        <w:rPr>
          <w:rFonts w:ascii="Times New Roman" w:hAnsi="Times New Roman"/>
          <w:kern w:val="0"/>
          <w:szCs w:val="24"/>
        </w:rPr>
      </w:pPr>
    </w:p>
    <w:p>
      <w:pPr>
        <w:pStyle w:val="2"/>
        <w:rPr>
          <w:rFonts w:ascii="Times New Roman" w:hAnsi="Times New Roman"/>
          <w:kern w:val="0"/>
          <w:szCs w:val="24"/>
        </w:rPr>
      </w:pPr>
    </w:p>
    <w:p>
      <w:pPr>
        <w:pStyle w:val="2"/>
        <w:rPr>
          <w:rFonts w:ascii="Times New Roman" w:hAnsi="Times New Roman"/>
          <w:kern w:val="0"/>
          <w:szCs w:val="24"/>
        </w:rPr>
      </w:pPr>
      <w:r>
        <w:rPr>
          <w:rFonts w:ascii="Times New Roman" w:hAnsi="Times New Roman"/>
          <w:kern w:val="0"/>
          <w:szCs w:val="24"/>
        </w:rPr>
        <w:t>经现场踏勘并对照调查范围内水土流失图得知：调查区内水土流失严重，区域内大多数属于水土中度流失区与极强度流失区。</w:t>
      </w:r>
      <w:r>
        <w:rPr>
          <w:rFonts w:ascii="Times New Roman" w:hAnsi="Times New Roman"/>
          <w:kern w:val="0"/>
          <w:szCs w:val="24"/>
        </w:rPr>
        <w:br w:type="textWrapping"/>
      </w:r>
      <w:r>
        <w:rPr>
          <w:rFonts w:ascii="Times New Roman" w:hAnsi="Times New Roman"/>
          <w:kern w:val="0"/>
          <w:szCs w:val="24"/>
        </w:rPr>
        <w:t>矿区水土流失类型以水力侵蚀为主。从全面角度考虑，将主要通过遥感解译和现场调查的方法对现状作出评价。依据水利部《全国水土流失遥感调查技术规程》</w:t>
      </w:r>
      <w:r>
        <w:rPr>
          <w:rFonts w:hint="eastAsia" w:ascii="Times New Roman" w:hAnsi="Times New Roman"/>
          <w:kern w:val="0"/>
          <w:szCs w:val="24"/>
        </w:rPr>
        <w:t>，</w:t>
      </w:r>
      <w:r>
        <w:rPr>
          <w:rFonts w:ascii="Times New Roman" w:hAnsi="Times New Roman"/>
          <w:kern w:val="0"/>
          <w:szCs w:val="24"/>
        </w:rPr>
        <w:t>以1:50000比例尺彩色红外航空影像为信息源(人机交互判读可视度可达1:5000，以遥感解译绘制的</w:t>
      </w:r>
      <w:r>
        <w:rPr>
          <w:rFonts w:hint="eastAsia" w:ascii="Times New Roman" w:hAnsi="Times New Roman"/>
          <w:kern w:val="0"/>
          <w:szCs w:val="24"/>
        </w:rPr>
        <w:t>矿区</w:t>
      </w:r>
      <w:r>
        <w:rPr>
          <w:rFonts w:ascii="Times New Roman" w:hAnsi="Times New Roman"/>
          <w:kern w:val="0"/>
          <w:szCs w:val="24"/>
        </w:rPr>
        <w:t>范围土地利用现状图为基础，参考当地气象、水文泥沙等资料，结合1:10000地形图及野外踏勘，对影响土地侵蚀的地形地貌、汛期降雨特征、植被覆盖度、地表组成物质及人为活动等因素，比照水利部第一、二、三次全国水土流失调查结果等资料，经人机交互制读，综合分析、评判，按照水利部颁布《土壤侵蚀分级标准》，确定各土地利用小斑侵蚀强度等级，得出本矿区水土流失现状详见下图及表3-</w:t>
      </w:r>
      <w:r>
        <w:rPr>
          <w:rFonts w:hint="eastAsia" w:ascii="Times New Roman" w:hAnsi="Times New Roman"/>
          <w:kern w:val="0"/>
          <w:szCs w:val="24"/>
        </w:rPr>
        <w:t>3</w:t>
      </w:r>
      <w:r>
        <w:rPr>
          <w:rFonts w:ascii="Times New Roman" w:hAnsi="Times New Roman"/>
          <w:kern w:val="0"/>
          <w:szCs w:val="24"/>
        </w:rPr>
        <w:t>。</w:t>
      </w:r>
    </w:p>
    <w:p>
      <w:pPr>
        <w:ind w:firstLine="480" w:firstLineChars="200"/>
        <w:rPr>
          <w:rFonts w:ascii="Times New Roman" w:hAnsi="Times New Roman"/>
        </w:rPr>
      </w:pPr>
      <w:r>
        <w:rPr>
          <w:rFonts w:ascii="Times New Roman" w:hAnsi="Times New Roman"/>
        </w:rPr>
        <w:t>根据矿区水土流失现状可知目前矿区流失强度可分为中度、强度和极强度</w:t>
      </w:r>
      <w:r>
        <w:rPr>
          <w:rFonts w:hint="eastAsia" w:ascii="Times New Roman" w:hAnsi="Times New Roman"/>
        </w:rPr>
        <w:t>3</w:t>
      </w:r>
      <w:r>
        <w:rPr>
          <w:rFonts w:ascii="Times New Roman" w:hAnsi="Times New Roman"/>
        </w:rPr>
        <w:t>个类型。</w:t>
      </w:r>
    </w:p>
    <w:p>
      <w:pPr>
        <w:pStyle w:val="28"/>
        <w:jc w:val="center"/>
        <w:rPr>
          <w:rFonts w:ascii="Times New Roman" w:hAnsi="Times New Roman" w:cs="Times New Roman"/>
          <w:b/>
          <w:bCs/>
          <w:color w:val="auto"/>
        </w:rPr>
      </w:pPr>
      <w:r>
        <w:rPr>
          <w:rFonts w:ascii="Times New Roman" w:hAnsi="Times New Roman" w:cs="Times New Roman"/>
          <w:b/>
          <w:bCs/>
          <w:color w:val="auto"/>
        </w:rPr>
        <w:t>表3-</w:t>
      </w:r>
      <w:r>
        <w:rPr>
          <w:rFonts w:hint="eastAsia" w:ascii="Times New Roman" w:hAnsi="Times New Roman" w:cs="Times New Roman"/>
          <w:b/>
          <w:bCs/>
          <w:color w:val="auto"/>
        </w:rPr>
        <w:t>3</w:t>
      </w:r>
      <w:r>
        <w:rPr>
          <w:rFonts w:ascii="Times New Roman" w:hAnsi="Times New Roman" w:cs="Times New Roman"/>
          <w:b/>
          <w:bCs/>
          <w:color w:val="auto"/>
        </w:rPr>
        <w:t xml:space="preserve">    矿山水土流失现状分布情况</w:t>
      </w:r>
    </w:p>
    <w:tbl>
      <w:tblPr>
        <w:tblStyle w:val="22"/>
        <w:tblW w:w="8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77"/>
        <w:gridCol w:w="1630"/>
        <w:gridCol w:w="34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2977" w:type="dxa"/>
            <w:vAlign w:val="center"/>
          </w:tcPr>
          <w:p>
            <w:pPr>
              <w:spacing w:line="360" w:lineRule="exact"/>
              <w:jc w:val="center"/>
              <w:rPr>
                <w:rFonts w:ascii="Times New Roman" w:hAnsi="Times New Roman"/>
                <w:sz w:val="21"/>
                <w:szCs w:val="21"/>
              </w:rPr>
            </w:pPr>
            <w:r>
              <w:rPr>
                <w:rFonts w:ascii="Times New Roman" w:hAnsi="Times New Roman"/>
                <w:sz w:val="21"/>
                <w:szCs w:val="21"/>
              </w:rPr>
              <w:t>矿区范围</w:t>
            </w:r>
          </w:p>
        </w:tc>
        <w:tc>
          <w:tcPr>
            <w:tcW w:w="1630" w:type="dxa"/>
            <w:vAlign w:val="center"/>
          </w:tcPr>
          <w:p>
            <w:pPr>
              <w:spacing w:line="360" w:lineRule="exact"/>
              <w:jc w:val="center"/>
              <w:rPr>
                <w:rFonts w:ascii="Times New Roman" w:hAnsi="Times New Roman"/>
                <w:sz w:val="21"/>
                <w:szCs w:val="21"/>
              </w:rPr>
            </w:pPr>
            <w:r>
              <w:rPr>
                <w:rFonts w:ascii="Times New Roman" w:hAnsi="Times New Roman"/>
                <w:sz w:val="21"/>
                <w:szCs w:val="21"/>
              </w:rPr>
              <w:t>面积（</w:t>
            </w:r>
            <w:r>
              <w:rPr>
                <w:rFonts w:hint="eastAsia" w:ascii="Times New Roman" w:hAnsi="Times New Roman"/>
                <w:sz w:val="21"/>
                <w:szCs w:val="21"/>
              </w:rPr>
              <w:t>h</w:t>
            </w:r>
            <w:r>
              <w:rPr>
                <w:rFonts w:ascii="Times New Roman" w:hAnsi="Times New Roman"/>
                <w:sz w:val="21"/>
                <w:szCs w:val="21"/>
              </w:rPr>
              <w:t>m²）</w:t>
            </w:r>
          </w:p>
        </w:tc>
        <w:tc>
          <w:tcPr>
            <w:tcW w:w="3473" w:type="dxa"/>
            <w:vAlign w:val="center"/>
          </w:tcPr>
          <w:p>
            <w:pPr>
              <w:spacing w:line="360" w:lineRule="exact"/>
              <w:jc w:val="center"/>
              <w:rPr>
                <w:rFonts w:ascii="Times New Roman" w:hAnsi="Times New Roman"/>
                <w:sz w:val="21"/>
                <w:szCs w:val="21"/>
              </w:rPr>
            </w:pPr>
            <w:r>
              <w:rPr>
                <w:rFonts w:ascii="Times New Roman" w:hAnsi="Times New Roman"/>
                <w:sz w:val="21"/>
                <w:szCs w:val="21"/>
              </w:rPr>
              <w:t>侵蚀强度等级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7" w:type="dxa"/>
            <w:vAlign w:val="center"/>
          </w:tcPr>
          <w:p>
            <w:pPr>
              <w:spacing w:line="360" w:lineRule="exact"/>
              <w:jc w:val="center"/>
              <w:rPr>
                <w:rFonts w:ascii="Times New Roman" w:hAnsi="Times New Roman"/>
                <w:sz w:val="20"/>
                <w:szCs w:val="20"/>
              </w:rPr>
            </w:pPr>
            <w:r>
              <w:rPr>
                <w:rFonts w:ascii="Times New Roman" w:hAnsi="Times New Roman"/>
                <w:sz w:val="20"/>
                <w:szCs w:val="20"/>
              </w:rPr>
              <w:t>采场</w:t>
            </w:r>
          </w:p>
        </w:tc>
        <w:tc>
          <w:tcPr>
            <w:tcW w:w="1630" w:type="dxa"/>
            <w:vAlign w:val="center"/>
          </w:tcPr>
          <w:p>
            <w:pPr>
              <w:spacing w:line="360" w:lineRule="exact"/>
              <w:jc w:val="center"/>
              <w:rPr>
                <w:rFonts w:ascii="Times New Roman" w:hAnsi="Times New Roman"/>
                <w:sz w:val="20"/>
                <w:szCs w:val="20"/>
              </w:rPr>
            </w:pPr>
            <w:r>
              <w:rPr>
                <w:rFonts w:hint="eastAsia" w:ascii="Times New Roman" w:hAnsi="Times New Roman"/>
                <w:sz w:val="20"/>
                <w:szCs w:val="20"/>
              </w:rPr>
              <w:t>2.5688</w:t>
            </w:r>
          </w:p>
        </w:tc>
        <w:tc>
          <w:tcPr>
            <w:tcW w:w="3473" w:type="dxa"/>
            <w:vAlign w:val="center"/>
          </w:tcPr>
          <w:p>
            <w:pPr>
              <w:spacing w:line="360" w:lineRule="exact"/>
              <w:jc w:val="center"/>
              <w:rPr>
                <w:rFonts w:ascii="Times New Roman" w:hAnsi="Times New Roman"/>
                <w:sz w:val="20"/>
                <w:szCs w:val="20"/>
              </w:rPr>
            </w:pPr>
            <w:r>
              <w:rPr>
                <w:rFonts w:ascii="Times New Roman" w:hAnsi="Times New Roman"/>
                <w:sz w:val="20"/>
                <w:szCs w:val="20"/>
              </w:rPr>
              <w:t>极强度流失区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7" w:type="dxa"/>
            <w:vAlign w:val="center"/>
          </w:tcPr>
          <w:p>
            <w:pPr>
              <w:spacing w:line="360" w:lineRule="exact"/>
              <w:jc w:val="center"/>
              <w:rPr>
                <w:rFonts w:ascii="Times New Roman" w:hAnsi="Times New Roman"/>
                <w:sz w:val="20"/>
                <w:szCs w:val="20"/>
              </w:rPr>
            </w:pPr>
            <w:r>
              <w:rPr>
                <w:rFonts w:ascii="Times New Roman" w:hAnsi="Times New Roman"/>
                <w:sz w:val="20"/>
                <w:szCs w:val="20"/>
              </w:rPr>
              <w:t>工业场地</w:t>
            </w:r>
          </w:p>
        </w:tc>
        <w:tc>
          <w:tcPr>
            <w:tcW w:w="1630" w:type="dxa"/>
            <w:vAlign w:val="center"/>
          </w:tcPr>
          <w:p>
            <w:pPr>
              <w:spacing w:line="360" w:lineRule="exact"/>
              <w:jc w:val="center"/>
              <w:rPr>
                <w:rFonts w:ascii="Times New Roman" w:hAnsi="Times New Roman"/>
                <w:sz w:val="20"/>
                <w:szCs w:val="20"/>
              </w:rPr>
            </w:pPr>
            <w:r>
              <w:rPr>
                <w:rFonts w:hint="eastAsia" w:ascii="Times New Roman" w:hAnsi="Times New Roman"/>
                <w:sz w:val="20"/>
                <w:szCs w:val="20"/>
              </w:rPr>
              <w:t>0.0</w:t>
            </w:r>
            <w:r>
              <w:rPr>
                <w:rFonts w:ascii="Times New Roman" w:hAnsi="Times New Roman"/>
                <w:sz w:val="20"/>
                <w:szCs w:val="20"/>
              </w:rPr>
              <w:t>491</w:t>
            </w:r>
          </w:p>
        </w:tc>
        <w:tc>
          <w:tcPr>
            <w:tcW w:w="3473" w:type="dxa"/>
            <w:vAlign w:val="center"/>
          </w:tcPr>
          <w:p>
            <w:pPr>
              <w:spacing w:line="360" w:lineRule="exact"/>
              <w:jc w:val="center"/>
              <w:rPr>
                <w:rFonts w:ascii="Times New Roman" w:hAnsi="Times New Roman"/>
                <w:sz w:val="20"/>
                <w:szCs w:val="20"/>
              </w:rPr>
            </w:pPr>
            <w:r>
              <w:rPr>
                <w:rFonts w:ascii="Times New Roman" w:hAnsi="Times New Roman"/>
                <w:sz w:val="20"/>
                <w:szCs w:val="20"/>
              </w:rPr>
              <w:t>强度流失区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7" w:type="dxa"/>
            <w:vAlign w:val="center"/>
          </w:tcPr>
          <w:p>
            <w:pPr>
              <w:spacing w:line="360" w:lineRule="exact"/>
              <w:jc w:val="center"/>
              <w:rPr>
                <w:rFonts w:ascii="Times New Roman" w:hAnsi="Times New Roman"/>
                <w:sz w:val="20"/>
                <w:szCs w:val="20"/>
              </w:rPr>
            </w:pPr>
            <w:r>
              <w:rPr>
                <w:rFonts w:ascii="Times New Roman" w:hAnsi="Times New Roman"/>
                <w:sz w:val="20"/>
                <w:szCs w:val="20"/>
              </w:rPr>
              <w:t>料堆</w:t>
            </w:r>
          </w:p>
        </w:tc>
        <w:tc>
          <w:tcPr>
            <w:tcW w:w="1630" w:type="dxa"/>
            <w:vAlign w:val="center"/>
          </w:tcPr>
          <w:p>
            <w:pPr>
              <w:spacing w:line="360" w:lineRule="exact"/>
              <w:jc w:val="center"/>
              <w:rPr>
                <w:rFonts w:ascii="Times New Roman" w:hAnsi="Times New Roman"/>
                <w:sz w:val="20"/>
                <w:szCs w:val="20"/>
              </w:rPr>
            </w:pPr>
            <w:r>
              <w:rPr>
                <w:rFonts w:hint="eastAsia" w:ascii="Times New Roman" w:hAnsi="Times New Roman"/>
                <w:sz w:val="20"/>
                <w:szCs w:val="20"/>
              </w:rPr>
              <w:t>1.0651</w:t>
            </w:r>
          </w:p>
        </w:tc>
        <w:tc>
          <w:tcPr>
            <w:tcW w:w="3473" w:type="dxa"/>
            <w:vAlign w:val="center"/>
          </w:tcPr>
          <w:p>
            <w:pPr>
              <w:spacing w:line="360" w:lineRule="exact"/>
              <w:jc w:val="center"/>
              <w:rPr>
                <w:rFonts w:ascii="Times New Roman" w:hAnsi="Times New Roman"/>
                <w:sz w:val="20"/>
                <w:szCs w:val="20"/>
              </w:rPr>
            </w:pPr>
            <w:r>
              <w:rPr>
                <w:rFonts w:ascii="Times New Roman" w:hAnsi="Times New Roman"/>
                <w:sz w:val="20"/>
                <w:szCs w:val="20"/>
              </w:rPr>
              <w:t>强度流失区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7" w:type="dxa"/>
            <w:vAlign w:val="center"/>
          </w:tcPr>
          <w:p>
            <w:pPr>
              <w:spacing w:line="360" w:lineRule="exact"/>
              <w:jc w:val="center"/>
              <w:rPr>
                <w:rFonts w:ascii="Times New Roman" w:hAnsi="Times New Roman"/>
                <w:sz w:val="20"/>
                <w:szCs w:val="20"/>
              </w:rPr>
            </w:pPr>
            <w:r>
              <w:rPr>
                <w:rFonts w:ascii="Times New Roman" w:hAnsi="Times New Roman"/>
                <w:sz w:val="20"/>
                <w:szCs w:val="20"/>
              </w:rPr>
              <w:t>废渣堆</w:t>
            </w:r>
          </w:p>
        </w:tc>
        <w:tc>
          <w:tcPr>
            <w:tcW w:w="1630" w:type="dxa"/>
            <w:vAlign w:val="center"/>
          </w:tcPr>
          <w:p>
            <w:pPr>
              <w:spacing w:line="360" w:lineRule="exact"/>
              <w:jc w:val="center"/>
              <w:rPr>
                <w:rFonts w:ascii="Times New Roman" w:hAnsi="Times New Roman"/>
                <w:sz w:val="20"/>
                <w:szCs w:val="20"/>
              </w:rPr>
            </w:pPr>
            <w:r>
              <w:rPr>
                <w:rFonts w:hint="eastAsia" w:ascii="Times New Roman" w:hAnsi="Times New Roman"/>
                <w:sz w:val="20"/>
                <w:szCs w:val="20"/>
              </w:rPr>
              <w:t>0.</w:t>
            </w:r>
            <w:r>
              <w:rPr>
                <w:rFonts w:ascii="Times New Roman" w:hAnsi="Times New Roman"/>
                <w:sz w:val="20"/>
                <w:szCs w:val="20"/>
              </w:rPr>
              <w:t>5128</w:t>
            </w:r>
          </w:p>
        </w:tc>
        <w:tc>
          <w:tcPr>
            <w:tcW w:w="3473" w:type="dxa"/>
            <w:vAlign w:val="center"/>
          </w:tcPr>
          <w:p>
            <w:pPr>
              <w:spacing w:line="360" w:lineRule="exact"/>
              <w:jc w:val="center"/>
              <w:rPr>
                <w:rFonts w:ascii="Times New Roman" w:hAnsi="Times New Roman"/>
                <w:sz w:val="20"/>
                <w:szCs w:val="20"/>
              </w:rPr>
            </w:pPr>
            <w:r>
              <w:rPr>
                <w:rFonts w:ascii="Times New Roman" w:hAnsi="Times New Roman"/>
                <w:sz w:val="20"/>
                <w:szCs w:val="20"/>
              </w:rPr>
              <w:t>极强度流失区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7" w:type="dxa"/>
            <w:vAlign w:val="center"/>
          </w:tcPr>
          <w:p>
            <w:pPr>
              <w:spacing w:line="360" w:lineRule="exact"/>
              <w:jc w:val="center"/>
              <w:rPr>
                <w:rFonts w:ascii="Times New Roman" w:hAnsi="Times New Roman"/>
                <w:sz w:val="20"/>
                <w:szCs w:val="20"/>
              </w:rPr>
            </w:pPr>
            <w:r>
              <w:rPr>
                <w:rFonts w:ascii="Times New Roman" w:hAnsi="Times New Roman"/>
                <w:sz w:val="20"/>
                <w:szCs w:val="20"/>
              </w:rPr>
              <w:t>办公生活区</w:t>
            </w:r>
          </w:p>
        </w:tc>
        <w:tc>
          <w:tcPr>
            <w:tcW w:w="1630" w:type="dxa"/>
            <w:vAlign w:val="center"/>
          </w:tcPr>
          <w:p>
            <w:pPr>
              <w:spacing w:line="360" w:lineRule="exact"/>
              <w:jc w:val="center"/>
              <w:rPr>
                <w:rFonts w:ascii="Times New Roman" w:hAnsi="Times New Roman"/>
                <w:sz w:val="20"/>
                <w:szCs w:val="20"/>
              </w:rPr>
            </w:pPr>
            <w:r>
              <w:rPr>
                <w:rFonts w:hint="eastAsia" w:ascii="Times New Roman" w:hAnsi="Times New Roman"/>
                <w:sz w:val="20"/>
                <w:szCs w:val="20"/>
              </w:rPr>
              <w:t>0.0</w:t>
            </w:r>
            <w:r>
              <w:rPr>
                <w:rFonts w:ascii="Times New Roman" w:hAnsi="Times New Roman"/>
                <w:sz w:val="20"/>
                <w:szCs w:val="20"/>
              </w:rPr>
              <w:t>611</w:t>
            </w:r>
          </w:p>
        </w:tc>
        <w:tc>
          <w:tcPr>
            <w:tcW w:w="3473" w:type="dxa"/>
            <w:vAlign w:val="center"/>
          </w:tcPr>
          <w:p>
            <w:pPr>
              <w:spacing w:line="360" w:lineRule="exact"/>
              <w:jc w:val="center"/>
              <w:rPr>
                <w:rFonts w:ascii="Times New Roman" w:hAnsi="Times New Roman"/>
                <w:sz w:val="20"/>
                <w:szCs w:val="20"/>
              </w:rPr>
            </w:pPr>
            <w:r>
              <w:rPr>
                <w:rFonts w:hint="eastAsia" w:ascii="Times New Roman" w:hAnsi="Times New Roman"/>
                <w:sz w:val="20"/>
                <w:szCs w:val="20"/>
              </w:rPr>
              <w:t>中</w:t>
            </w:r>
            <w:r>
              <w:rPr>
                <w:rFonts w:ascii="Times New Roman" w:hAnsi="Times New Roman"/>
                <w:sz w:val="20"/>
                <w:szCs w:val="20"/>
              </w:rPr>
              <w:t>度流失区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7" w:type="dxa"/>
            <w:vAlign w:val="center"/>
          </w:tcPr>
          <w:p>
            <w:pPr>
              <w:spacing w:line="360" w:lineRule="exact"/>
              <w:jc w:val="center"/>
              <w:rPr>
                <w:rFonts w:ascii="Times New Roman" w:hAnsi="Times New Roman"/>
                <w:sz w:val="20"/>
                <w:szCs w:val="20"/>
              </w:rPr>
            </w:pPr>
            <w:r>
              <w:rPr>
                <w:rFonts w:ascii="Times New Roman" w:hAnsi="Times New Roman"/>
                <w:sz w:val="20"/>
                <w:szCs w:val="20"/>
              </w:rPr>
              <w:t>矿山道路</w:t>
            </w:r>
          </w:p>
        </w:tc>
        <w:tc>
          <w:tcPr>
            <w:tcW w:w="1630" w:type="dxa"/>
            <w:vAlign w:val="center"/>
          </w:tcPr>
          <w:p>
            <w:pPr>
              <w:spacing w:line="360" w:lineRule="exact"/>
              <w:jc w:val="center"/>
              <w:rPr>
                <w:rFonts w:ascii="Times New Roman" w:hAnsi="Times New Roman"/>
                <w:sz w:val="20"/>
                <w:szCs w:val="20"/>
              </w:rPr>
            </w:pPr>
            <w:r>
              <w:rPr>
                <w:rFonts w:hint="eastAsia" w:ascii="Times New Roman" w:hAnsi="Times New Roman"/>
                <w:sz w:val="20"/>
                <w:szCs w:val="20"/>
              </w:rPr>
              <w:t>0.</w:t>
            </w:r>
            <w:r>
              <w:rPr>
                <w:rFonts w:ascii="Times New Roman" w:hAnsi="Times New Roman"/>
                <w:sz w:val="20"/>
                <w:szCs w:val="20"/>
              </w:rPr>
              <w:t>2120</w:t>
            </w:r>
          </w:p>
        </w:tc>
        <w:tc>
          <w:tcPr>
            <w:tcW w:w="3473" w:type="dxa"/>
            <w:vAlign w:val="center"/>
          </w:tcPr>
          <w:p>
            <w:pPr>
              <w:spacing w:line="360" w:lineRule="exact"/>
              <w:jc w:val="center"/>
              <w:rPr>
                <w:rFonts w:ascii="Times New Roman" w:hAnsi="Times New Roman"/>
                <w:sz w:val="20"/>
                <w:szCs w:val="20"/>
              </w:rPr>
            </w:pPr>
            <w:r>
              <w:rPr>
                <w:rFonts w:ascii="Times New Roman" w:hAnsi="Times New Roman"/>
                <w:sz w:val="20"/>
                <w:szCs w:val="20"/>
              </w:rPr>
              <w:t>中度流失区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7" w:type="dxa"/>
            <w:vAlign w:val="center"/>
          </w:tcPr>
          <w:p>
            <w:pPr>
              <w:spacing w:line="360" w:lineRule="exact"/>
              <w:jc w:val="center"/>
              <w:rPr>
                <w:rFonts w:ascii="Times New Roman" w:hAnsi="Times New Roman"/>
                <w:sz w:val="20"/>
                <w:szCs w:val="20"/>
              </w:rPr>
            </w:pPr>
            <w:r>
              <w:rPr>
                <w:rFonts w:hint="eastAsia" w:ascii="Times New Roman" w:hAnsi="Times New Roman"/>
                <w:sz w:val="20"/>
                <w:szCs w:val="20"/>
              </w:rPr>
              <w:t>合计</w:t>
            </w:r>
          </w:p>
        </w:tc>
        <w:tc>
          <w:tcPr>
            <w:tcW w:w="1630" w:type="dxa"/>
            <w:vAlign w:val="center"/>
          </w:tcPr>
          <w:p>
            <w:pPr>
              <w:spacing w:line="360" w:lineRule="exact"/>
              <w:jc w:val="center"/>
              <w:rPr>
                <w:rFonts w:ascii="Times New Roman" w:hAnsi="Times New Roman"/>
                <w:sz w:val="20"/>
                <w:szCs w:val="20"/>
              </w:rPr>
            </w:pPr>
            <w:r>
              <w:rPr>
                <w:rFonts w:ascii="Times New Roman" w:hAnsi="Times New Roman"/>
                <w:sz w:val="20"/>
                <w:szCs w:val="20"/>
              </w:rPr>
              <w:fldChar w:fldCharType="begin"/>
            </w:r>
            <w:r>
              <w:rPr>
                <w:rFonts w:hint="eastAsia" w:ascii="Times New Roman" w:hAnsi="Times New Roman"/>
                <w:sz w:val="20"/>
                <w:szCs w:val="20"/>
              </w:rPr>
              <w:instrText xml:space="preserve">=SUM(ABOVE)</w:instrText>
            </w:r>
            <w:r>
              <w:rPr>
                <w:rFonts w:ascii="Times New Roman" w:hAnsi="Times New Roman"/>
                <w:sz w:val="20"/>
                <w:szCs w:val="20"/>
              </w:rPr>
              <w:fldChar w:fldCharType="separate"/>
            </w:r>
            <w:r>
              <w:rPr>
                <w:rFonts w:ascii="Times New Roman" w:hAnsi="Times New Roman"/>
                <w:sz w:val="20"/>
                <w:szCs w:val="20"/>
              </w:rPr>
              <w:t>4.4689</w:t>
            </w:r>
            <w:r>
              <w:rPr>
                <w:rFonts w:ascii="Times New Roman" w:hAnsi="Times New Roman"/>
                <w:sz w:val="20"/>
                <w:szCs w:val="20"/>
              </w:rPr>
              <w:fldChar w:fldCharType="end"/>
            </w:r>
          </w:p>
        </w:tc>
        <w:tc>
          <w:tcPr>
            <w:tcW w:w="3473" w:type="dxa"/>
            <w:vAlign w:val="center"/>
          </w:tcPr>
          <w:p>
            <w:pPr>
              <w:spacing w:line="360" w:lineRule="exact"/>
              <w:jc w:val="center"/>
              <w:rPr>
                <w:rFonts w:ascii="Times New Roman" w:hAnsi="Times New Roman"/>
                <w:sz w:val="20"/>
                <w:szCs w:val="20"/>
              </w:rPr>
            </w:pPr>
          </w:p>
        </w:tc>
      </w:tr>
    </w:tbl>
    <w:p>
      <w:pPr>
        <w:pStyle w:val="31"/>
      </w:pPr>
      <w:bookmarkStart w:id="199" w:name="_Toc71036657"/>
      <w:r>
        <w:t>3.3.</w:t>
      </w:r>
      <w:r>
        <w:rPr>
          <w:rFonts w:hint="eastAsia"/>
        </w:rPr>
        <w:t>5</w:t>
      </w:r>
      <w:r>
        <w:t xml:space="preserve"> 环境污染调查</w:t>
      </w:r>
      <w:bookmarkEnd w:id="199"/>
    </w:p>
    <w:p>
      <w:pPr>
        <w:pStyle w:val="28"/>
        <w:rPr>
          <w:rFonts w:ascii="Times New Roman" w:hAnsi="Times New Roman" w:cs="Times New Roman"/>
          <w:b/>
          <w:bCs/>
        </w:rPr>
      </w:pPr>
      <w:r>
        <w:rPr>
          <w:rFonts w:ascii="Times New Roman" w:hAnsi="Times New Roman" w:cs="Times New Roman"/>
          <w:b/>
          <w:bCs/>
        </w:rPr>
        <w:t>3.3.</w:t>
      </w:r>
      <w:r>
        <w:rPr>
          <w:rFonts w:hint="eastAsia" w:ascii="Times New Roman" w:hAnsi="Times New Roman" w:cs="Times New Roman"/>
          <w:b/>
          <w:bCs/>
        </w:rPr>
        <w:t>5</w:t>
      </w:r>
      <w:r>
        <w:rPr>
          <w:rFonts w:ascii="Times New Roman" w:hAnsi="Times New Roman" w:cs="Times New Roman"/>
          <w:b/>
          <w:bCs/>
        </w:rPr>
        <w:t>.1 大气污染治理措施及排放情况</w:t>
      </w:r>
    </w:p>
    <w:p>
      <w:pPr>
        <w:ind w:firstLine="480" w:firstLineChars="200"/>
        <w:rPr>
          <w:rFonts w:ascii="Times New Roman" w:hAnsi="Times New Roman"/>
        </w:rPr>
      </w:pPr>
      <w:r>
        <w:rPr>
          <w:rFonts w:ascii="Times New Roman" w:hAnsi="Times New Roman"/>
          <w:kern w:val="0"/>
          <w:szCs w:val="24"/>
        </w:rPr>
        <w:t>本地区大气污染主要来源有采场、</w:t>
      </w:r>
      <w:r>
        <w:rPr>
          <w:rFonts w:hint="eastAsia" w:ascii="Times New Roman" w:hAnsi="Times New Roman"/>
          <w:kern w:val="0"/>
          <w:szCs w:val="24"/>
        </w:rPr>
        <w:t>工业</w:t>
      </w:r>
      <w:r>
        <w:rPr>
          <w:rFonts w:ascii="Times New Roman" w:hAnsi="Times New Roman"/>
          <w:kern w:val="0"/>
          <w:szCs w:val="24"/>
        </w:rPr>
        <w:t>场地和汽车运输扬尘，产生的主要污染物为粉尘。</w:t>
      </w:r>
      <w:r>
        <w:rPr>
          <w:rFonts w:ascii="Times New Roman" w:hAnsi="Times New Roman"/>
          <w:kern w:val="0"/>
          <w:szCs w:val="24"/>
        </w:rPr>
        <w:br w:type="textWrapping"/>
      </w:r>
      <w:r>
        <w:rPr>
          <w:rFonts w:ascii="Times New Roman" w:hAnsi="Times New Roman"/>
          <w:kern w:val="0"/>
          <w:szCs w:val="24"/>
        </w:rPr>
        <w:t xml:space="preserve">    1.采场产生灰尘</w:t>
      </w:r>
      <w:r>
        <w:rPr>
          <w:rFonts w:ascii="Times New Roman" w:hAnsi="Times New Roman"/>
          <w:kern w:val="0"/>
          <w:szCs w:val="24"/>
        </w:rPr>
        <w:br w:type="textWrapping"/>
      </w:r>
      <w:r>
        <w:rPr>
          <w:rFonts w:ascii="Times New Roman" w:hAnsi="Times New Roman"/>
          <w:kern w:val="0"/>
          <w:szCs w:val="24"/>
        </w:rPr>
        <w:t>该矿区由上而下分台阶逐层开采的工艺，采用半机械化开采，矿岩爆破采用机械打眼、小炮扩孔、芍药爆破</w:t>
      </w:r>
      <w:r>
        <w:rPr>
          <w:rFonts w:hint="eastAsia" w:ascii="Times New Roman" w:hAnsi="Times New Roman"/>
          <w:kern w:val="0"/>
          <w:szCs w:val="24"/>
        </w:rPr>
        <w:t>，</w:t>
      </w:r>
      <w:r>
        <w:rPr>
          <w:rFonts w:ascii="Times New Roman" w:hAnsi="Times New Roman"/>
          <w:kern w:val="0"/>
          <w:szCs w:val="24"/>
        </w:rPr>
        <w:t>材料使用普通火雷管，导火索和铵油炸药。采矿过程中边帮剥离、爆破运输过程中均会产生粉尘。</w:t>
      </w:r>
      <w:r>
        <w:rPr>
          <w:rFonts w:ascii="Times New Roman" w:hAnsi="Times New Roman"/>
          <w:kern w:val="0"/>
          <w:szCs w:val="24"/>
        </w:rPr>
        <w:br w:type="textWrapping"/>
      </w:r>
      <w:r>
        <w:rPr>
          <w:rFonts w:ascii="Times New Roman" w:hAnsi="Times New Roman"/>
        </w:rPr>
        <w:t>2.工业场地</w:t>
      </w:r>
      <w:r>
        <w:rPr>
          <w:rFonts w:hint="eastAsia" w:ascii="Times New Roman" w:hAnsi="Times New Roman"/>
        </w:rPr>
        <w:t>灰</w:t>
      </w:r>
      <w:r>
        <w:rPr>
          <w:rFonts w:ascii="Times New Roman" w:hAnsi="Times New Roman"/>
        </w:rPr>
        <w:t>尘</w:t>
      </w:r>
    </w:p>
    <w:p>
      <w:pPr>
        <w:pStyle w:val="2"/>
      </w:pPr>
      <w:r>
        <w:rPr>
          <w:rFonts w:hint="eastAsia"/>
        </w:rPr>
        <w:t>矿山生产</w:t>
      </w:r>
      <w:r>
        <w:t>加工区主要的程序为破碎和筛分，过程中均会产尘</w:t>
      </w:r>
      <w:r>
        <w:rPr>
          <w:rFonts w:hint="eastAsia"/>
        </w:rPr>
        <w:t>。</w:t>
      </w:r>
    </w:p>
    <w:p>
      <w:pPr>
        <w:ind w:firstLine="480" w:firstLineChars="200"/>
        <w:rPr>
          <w:rFonts w:ascii="Times New Roman" w:hAnsi="Times New Roman"/>
        </w:rPr>
      </w:pPr>
      <w:r>
        <w:rPr>
          <w:rFonts w:hint="eastAsia" w:ascii="Times New Roman" w:hAnsi="Times New Roman"/>
        </w:rPr>
        <w:t>3.</w:t>
      </w:r>
      <w:r>
        <w:rPr>
          <w:rFonts w:ascii="Times New Roman" w:hAnsi="Times New Roman"/>
        </w:rPr>
        <w:t>运输道路扬尘</w:t>
      </w:r>
    </w:p>
    <w:p>
      <w:pPr>
        <w:ind w:firstLine="480" w:firstLineChars="200"/>
        <w:rPr>
          <w:rFonts w:ascii="Times New Roman" w:hAnsi="Times New Roman"/>
        </w:rPr>
      </w:pPr>
      <w:r>
        <w:rPr>
          <w:rFonts w:ascii="Times New Roman" w:hAnsi="Times New Roman"/>
        </w:rPr>
        <w:t>矿山运输采用汽车公路运输方式</w:t>
      </w:r>
      <w:r>
        <w:rPr>
          <w:rFonts w:hint="eastAsia" w:ascii="Times New Roman" w:hAnsi="Times New Roman"/>
        </w:rPr>
        <w:t>，</w:t>
      </w:r>
      <w:r>
        <w:rPr>
          <w:rFonts w:ascii="Times New Roman" w:hAnsi="Times New Roman"/>
        </w:rPr>
        <w:t>运输过程排污主要为原矿由采场运输到</w:t>
      </w:r>
      <w:r>
        <w:rPr>
          <w:rFonts w:hint="eastAsia" w:ascii="Times New Roman" w:hAnsi="Times New Roman"/>
        </w:rPr>
        <w:t>工业</w:t>
      </w:r>
      <w:r>
        <w:rPr>
          <w:rFonts w:ascii="Times New Roman" w:hAnsi="Times New Roman"/>
        </w:rPr>
        <w:t>场地、外运，运输过程中将产生道路扬尘污染。</w:t>
      </w:r>
    </w:p>
    <w:p>
      <w:pPr>
        <w:pStyle w:val="28"/>
        <w:rPr>
          <w:rFonts w:ascii="Times New Roman" w:hAnsi="Times New Roman" w:cs="Times New Roman"/>
          <w:b/>
          <w:bCs/>
        </w:rPr>
      </w:pPr>
      <w:r>
        <w:rPr>
          <w:rFonts w:ascii="Times New Roman" w:hAnsi="Times New Roman" w:cs="Times New Roman"/>
          <w:b/>
          <w:bCs/>
        </w:rPr>
        <w:t>3.3.</w:t>
      </w:r>
      <w:r>
        <w:rPr>
          <w:rFonts w:hint="eastAsia" w:ascii="Times New Roman" w:hAnsi="Times New Roman" w:cs="Times New Roman"/>
          <w:b/>
          <w:bCs/>
        </w:rPr>
        <w:t>5</w:t>
      </w:r>
      <w:r>
        <w:rPr>
          <w:rFonts w:ascii="Times New Roman" w:hAnsi="Times New Roman" w:cs="Times New Roman"/>
          <w:b/>
          <w:bCs/>
        </w:rPr>
        <w:t>.2 水污染治理措施及排放情况</w:t>
      </w:r>
    </w:p>
    <w:p>
      <w:pPr>
        <w:ind w:firstLine="480" w:firstLineChars="200"/>
        <w:rPr>
          <w:rFonts w:ascii="Times New Roman" w:hAnsi="Times New Roman"/>
          <w:kern w:val="0"/>
          <w:szCs w:val="24"/>
        </w:rPr>
      </w:pPr>
      <w:r>
        <w:rPr>
          <w:rFonts w:ascii="Times New Roman" w:hAnsi="Times New Roman"/>
          <w:kern w:val="0"/>
          <w:szCs w:val="24"/>
        </w:rPr>
        <w:t>地下含水层为基岩裂隙水含水层，地下水类型主要为基岩裂隙水。区内岩石裂隙较发育，透水性较好，富水性差。其补给来源主要是大气降水，降水进入岩体后沿裂隙迳流。</w:t>
      </w:r>
    </w:p>
    <w:p>
      <w:pPr>
        <w:ind w:firstLine="480" w:firstLineChars="200"/>
        <w:rPr>
          <w:rFonts w:ascii="Times New Roman" w:hAnsi="Times New Roman"/>
          <w:kern w:val="0"/>
          <w:szCs w:val="24"/>
        </w:rPr>
      </w:pPr>
      <w:r>
        <w:rPr>
          <w:rFonts w:ascii="Times New Roman" w:hAnsi="Times New Roman"/>
          <w:kern w:val="0"/>
          <w:szCs w:val="24"/>
        </w:rPr>
        <w:t>矿体赋存于当地侵蚀基准面以上，又处于小山梁上，开采标高位于地下水位之上，山坡自然坡度较陡，自然排水条件好，但由于矿床开采形成了露天采场，改变了采场及周围降雨汇水面形状和面积。</w:t>
      </w:r>
    </w:p>
    <w:p>
      <w:pPr>
        <w:ind w:firstLine="480" w:firstLineChars="200"/>
        <w:rPr>
          <w:rFonts w:ascii="Times New Roman" w:hAnsi="Times New Roman"/>
          <w:kern w:val="0"/>
          <w:szCs w:val="24"/>
        </w:rPr>
      </w:pPr>
      <w:r>
        <w:rPr>
          <w:rFonts w:ascii="Times New Roman" w:hAnsi="Times New Roman"/>
          <w:kern w:val="0"/>
          <w:szCs w:val="24"/>
        </w:rPr>
        <w:t>本企业废水排放主要来源于少量的生活污水。</w:t>
      </w:r>
      <w:r>
        <w:rPr>
          <w:rFonts w:ascii="Times New Roman" w:hAnsi="Times New Roman"/>
          <w:kern w:val="0"/>
          <w:szCs w:val="24"/>
        </w:rPr>
        <w:br w:type="textWrapping"/>
      </w:r>
      <w:r>
        <w:rPr>
          <w:rFonts w:ascii="Times New Roman" w:hAnsi="Times New Roman"/>
          <w:kern w:val="0"/>
          <w:szCs w:val="24"/>
        </w:rPr>
        <w:t xml:space="preserve">   1、生产废水</w:t>
      </w:r>
    </w:p>
    <w:p>
      <w:pPr>
        <w:ind w:firstLine="480" w:firstLineChars="200"/>
        <w:rPr>
          <w:rFonts w:ascii="Times New Roman" w:hAnsi="Times New Roman"/>
          <w:kern w:val="0"/>
          <w:szCs w:val="24"/>
        </w:rPr>
      </w:pPr>
      <w:r>
        <w:rPr>
          <w:rFonts w:ascii="Times New Roman" w:hAnsi="Times New Roman"/>
          <w:kern w:val="0"/>
          <w:szCs w:val="24"/>
        </w:rPr>
        <w:t>根据业主提供的相关资料可知，项目生产过程中用水主要为工艺降尘用水，该部分水全部溶于产品中。挖掘过程洒水抑尘和运输道路抑尘用水，该部分水全部溶于产品中，水自然蒸发或随产品带走。生产过程中无废水外排。</w:t>
      </w:r>
    </w:p>
    <w:p>
      <w:pPr>
        <w:ind w:firstLine="480" w:firstLineChars="200"/>
        <w:rPr>
          <w:rFonts w:ascii="Times New Roman" w:hAnsi="Times New Roman"/>
          <w:kern w:val="0"/>
          <w:szCs w:val="24"/>
        </w:rPr>
      </w:pPr>
      <w:r>
        <w:rPr>
          <w:rFonts w:ascii="Times New Roman" w:hAnsi="Times New Roman"/>
          <w:kern w:val="0"/>
          <w:szCs w:val="24"/>
        </w:rPr>
        <w:t>2、生活污水</w:t>
      </w:r>
    </w:p>
    <w:p>
      <w:pPr>
        <w:ind w:firstLine="480" w:firstLineChars="200"/>
        <w:rPr>
          <w:rFonts w:ascii="Times New Roman" w:hAnsi="Times New Roman"/>
        </w:rPr>
      </w:pPr>
      <w:r>
        <w:rPr>
          <w:rFonts w:ascii="Times New Roman" w:hAnsi="Times New Roman"/>
          <w:kern w:val="0"/>
          <w:szCs w:val="24"/>
        </w:rPr>
        <w:t>项目职工产生的生活废水，水质简单，全部用于厂区道路洒水，不外排。</w:t>
      </w:r>
    </w:p>
    <w:p>
      <w:pPr>
        <w:pStyle w:val="28"/>
        <w:rPr>
          <w:rFonts w:ascii="Times New Roman" w:hAnsi="Times New Roman" w:cs="Times New Roman"/>
          <w:b/>
          <w:bCs/>
        </w:rPr>
      </w:pPr>
      <w:r>
        <w:rPr>
          <w:rFonts w:ascii="Times New Roman" w:hAnsi="Times New Roman" w:cs="Times New Roman"/>
          <w:b/>
          <w:bCs/>
        </w:rPr>
        <w:t>3.3.</w:t>
      </w:r>
      <w:r>
        <w:rPr>
          <w:rFonts w:hint="eastAsia" w:ascii="Times New Roman" w:hAnsi="Times New Roman" w:cs="Times New Roman"/>
          <w:b/>
          <w:bCs/>
        </w:rPr>
        <w:t>5</w:t>
      </w:r>
      <w:r>
        <w:rPr>
          <w:rFonts w:ascii="Times New Roman" w:hAnsi="Times New Roman" w:cs="Times New Roman"/>
          <w:b/>
          <w:bCs/>
        </w:rPr>
        <w:t xml:space="preserve">.3 </w:t>
      </w:r>
      <w:r>
        <w:rPr>
          <w:rFonts w:ascii="Times New Roman" w:hAnsi="Times New Roman" w:cs="Times New Roman"/>
          <w:b/>
          <w:bCs/>
          <w:szCs w:val="21"/>
        </w:rPr>
        <w:t>固体废物排放情况及响分析</w:t>
      </w:r>
    </w:p>
    <w:p>
      <w:pPr>
        <w:ind w:left="480" w:leftChars="200"/>
        <w:rPr>
          <w:rFonts w:ascii="Times New Roman" w:hAnsi="Times New Roman"/>
        </w:rPr>
      </w:pPr>
      <w:r>
        <w:rPr>
          <w:rFonts w:ascii="Times New Roman" w:hAnsi="Times New Roman"/>
          <w:kern w:val="0"/>
          <w:szCs w:val="24"/>
        </w:rPr>
        <w:t>矿山运营期主要固体废物有</w:t>
      </w:r>
      <w:r>
        <w:rPr>
          <w:rFonts w:hint="eastAsia" w:ascii="Times New Roman" w:hAnsi="Times New Roman"/>
          <w:kern w:val="0"/>
          <w:szCs w:val="24"/>
        </w:rPr>
        <w:t>生产废渣及剥离物</w:t>
      </w:r>
      <w:r>
        <w:rPr>
          <w:rFonts w:ascii="Times New Roman" w:hAnsi="Times New Roman"/>
          <w:kern w:val="0"/>
          <w:szCs w:val="24"/>
        </w:rPr>
        <w:t>及少量的生活垃圾。</w:t>
      </w:r>
    </w:p>
    <w:p>
      <w:pPr>
        <w:ind w:left="480" w:leftChars="200"/>
        <w:rPr>
          <w:rFonts w:ascii="Times New Roman" w:hAnsi="Times New Roman"/>
        </w:rPr>
      </w:pPr>
      <w:r>
        <w:rPr>
          <w:rFonts w:ascii="Times New Roman" w:hAnsi="Times New Roman"/>
        </w:rPr>
        <w:t>1、矿山采场运行期固废排放情况</w:t>
      </w:r>
      <w:r>
        <w:rPr>
          <w:rFonts w:ascii="Times New Roman" w:hAnsi="Times New Roman"/>
        </w:rPr>
        <w:br w:type="textWrapping"/>
      </w:r>
      <w:r>
        <w:rPr>
          <w:rFonts w:ascii="Times New Roman" w:hAnsi="Times New Roman"/>
        </w:rPr>
        <w:t>矿山服务年限内废渣量约0.16万m</w:t>
      </w:r>
      <w:r>
        <w:rPr>
          <w:rFonts w:ascii="Times New Roman" w:hAnsi="Times New Roman"/>
          <w:vertAlign w:val="superscript"/>
        </w:rPr>
        <w:t>3</w:t>
      </w:r>
      <w:r>
        <w:rPr>
          <w:rFonts w:ascii="Times New Roman" w:hAnsi="Times New Roman"/>
        </w:rPr>
        <w:t>，矿山服务年限内岩土剥离量</w:t>
      </w:r>
      <w:r>
        <w:rPr>
          <w:rFonts w:hint="eastAsia" w:ascii="Times New Roman" w:hAnsi="Times New Roman"/>
        </w:rPr>
        <w:t>0.05</w:t>
      </w:r>
      <w:r>
        <w:rPr>
          <w:rFonts w:ascii="Times New Roman" w:hAnsi="Times New Roman"/>
        </w:rPr>
        <w:t>万m</w:t>
      </w:r>
      <w:r>
        <w:rPr>
          <w:rFonts w:ascii="Times New Roman" w:hAnsi="Times New Roman"/>
          <w:vertAlign w:val="superscript"/>
        </w:rPr>
        <w:t>3</w:t>
      </w:r>
      <w:r>
        <w:rPr>
          <w:rFonts w:ascii="Times New Roman" w:hAnsi="Times New Roman"/>
        </w:rPr>
        <w:t>。此外</w:t>
      </w:r>
    </w:p>
    <w:p>
      <w:pPr>
        <w:rPr>
          <w:rFonts w:ascii="Times New Roman" w:hAnsi="Times New Roman"/>
          <w:kern w:val="0"/>
          <w:szCs w:val="24"/>
        </w:rPr>
      </w:pPr>
      <w:r>
        <w:rPr>
          <w:rFonts w:ascii="Times New Roman" w:hAnsi="Times New Roman"/>
        </w:rPr>
        <w:t>还有少量的生活垃圾，按照职工定员平衡比率计算，生活垃圾每年的产生量约为</w:t>
      </w:r>
      <w:r>
        <w:rPr>
          <w:rFonts w:hint="eastAsia" w:ascii="Times New Roman" w:hAnsi="Times New Roman"/>
        </w:rPr>
        <w:t>1</w:t>
      </w:r>
      <w:r>
        <w:rPr>
          <w:rFonts w:ascii="Times New Roman" w:hAnsi="Times New Roman"/>
        </w:rPr>
        <w:t>吨。</w:t>
      </w:r>
      <w:r>
        <w:rPr>
          <w:rFonts w:hint="eastAsia" w:ascii="Times New Roman" w:hAnsi="Times New Roman"/>
        </w:rPr>
        <w:t>矿山</w:t>
      </w:r>
      <w:r>
        <w:rPr>
          <w:rFonts w:ascii="Times New Roman" w:hAnsi="Times New Roman"/>
        </w:rPr>
        <w:t>运行期所产生的固体废物将部分入废石场堆存，部分随意堆弃在冲沟内，在雨季形成塌方、滑坡，规模大时可能堵塞沟谷影响行洪或形成泥石流等危害。虽然矿山目前区内未见大规模的滑坡、崩塌、泥石流等地质灾害，但斜坡、裸露地表较多，随着企业的运行，这些地质灾害有可能发生，所以要对矿区内易发</w:t>
      </w:r>
      <w:r>
        <w:rPr>
          <w:rFonts w:ascii="Times New Roman" w:hAnsi="Times New Roman"/>
          <w:kern w:val="0"/>
          <w:szCs w:val="24"/>
        </w:rPr>
        <w:t>地质灾害的地区必须加强监测和管理</w:t>
      </w:r>
      <w:r>
        <w:rPr>
          <w:rFonts w:hint="eastAsia" w:ascii="Times New Roman" w:hAnsi="Times New Roman"/>
          <w:kern w:val="0"/>
          <w:szCs w:val="24"/>
        </w:rPr>
        <w:t>，</w:t>
      </w:r>
      <w:r>
        <w:rPr>
          <w:rFonts w:ascii="Times New Roman" w:hAnsi="Times New Roman"/>
          <w:kern w:val="0"/>
          <w:szCs w:val="24"/>
        </w:rPr>
        <w:t>做到防患于未然。</w:t>
      </w:r>
    </w:p>
    <w:p>
      <w:pPr>
        <w:pStyle w:val="2"/>
      </w:pPr>
      <w:r>
        <w:rPr>
          <w:rFonts w:hint="eastAsia"/>
        </w:rPr>
        <w:t>2、</w:t>
      </w:r>
      <w:r>
        <w:t>总量控制</w:t>
      </w:r>
    </w:p>
    <w:p>
      <w:pPr>
        <w:pStyle w:val="2"/>
      </w:pPr>
      <w:r>
        <w:t>企业未申请总量。</w:t>
      </w:r>
    </w:p>
    <w:p>
      <w:pPr>
        <w:pStyle w:val="31"/>
      </w:pPr>
      <w:bookmarkStart w:id="200" w:name="_Toc71036658"/>
      <w:r>
        <w:t>3.3.</w:t>
      </w:r>
      <w:r>
        <w:rPr>
          <w:rFonts w:hint="eastAsia"/>
        </w:rPr>
        <w:t>6地质灾害现状调查</w:t>
      </w:r>
      <w:bookmarkEnd w:id="200"/>
    </w:p>
    <w:p>
      <w:pPr>
        <w:ind w:firstLine="600" w:firstLineChars="250"/>
        <w:rPr>
          <w:rFonts w:ascii="Times New Roman" w:hAnsi="Times New Roman"/>
        </w:rPr>
      </w:pPr>
      <w:r>
        <w:rPr>
          <w:rFonts w:hint="eastAsia" w:ascii="Times New Roman" w:hAnsi="Times New Roman"/>
        </w:rPr>
        <w:t>矿山</w:t>
      </w:r>
      <w:r>
        <w:rPr>
          <w:rFonts w:ascii="Times New Roman" w:hAnsi="Times New Roman"/>
        </w:rPr>
        <w:t>为已生产矿山，现状调查评估区内未发现崩塌、滑坡、泥石流等地质灾害，现状条件下评估区内有露天采场、剥采区、办公生活区、工业广场及道路。通过地质环境调查，评估区范围内未发现地下开采活动，现状条件下区内有以往露天采场一处、剥采区一处，开采或剥采形成较大面积的采场，采场高陡边坡有零星碎石掉落，形成不稳定边坡。其他区域现状条件下不存在崩塌地质灾害，但存在安全隐患。</w:t>
      </w:r>
    </w:p>
    <w:p>
      <w:pPr>
        <w:pStyle w:val="31"/>
      </w:pPr>
      <w:bookmarkStart w:id="201" w:name="_Toc71036659"/>
      <w:r>
        <w:t>3.3.</w:t>
      </w:r>
      <w:r>
        <w:rPr>
          <w:rFonts w:hint="eastAsia"/>
        </w:rPr>
        <w:t>7</w:t>
      </w:r>
      <w:r>
        <w:t>环保措施及落实情况</w:t>
      </w:r>
      <w:bookmarkEnd w:id="201"/>
    </w:p>
    <w:p>
      <w:pPr>
        <w:pStyle w:val="2"/>
        <w:rPr>
          <w:szCs w:val="21"/>
        </w:rPr>
      </w:pPr>
      <w:r>
        <w:t>矿山生产中采取了一定的环保措施</w:t>
      </w:r>
      <w:r>
        <w:rPr>
          <w:rFonts w:hint="eastAsia"/>
        </w:rPr>
        <w:t>，</w:t>
      </w:r>
      <w:r>
        <w:rPr>
          <w:szCs w:val="21"/>
        </w:rPr>
        <w:t>运输道路铺建碎石路面</w:t>
      </w:r>
      <w:r>
        <w:rPr>
          <w:rFonts w:hint="eastAsia"/>
          <w:szCs w:val="21"/>
        </w:rPr>
        <w:t>，</w:t>
      </w:r>
      <w:r>
        <w:rPr>
          <w:szCs w:val="21"/>
        </w:rPr>
        <w:t>车辆不超载、覆盖篷布</w:t>
      </w:r>
      <w:r>
        <w:rPr>
          <w:rFonts w:hint="eastAsia"/>
          <w:szCs w:val="21"/>
        </w:rPr>
        <w:t>，厂房内做了</w:t>
      </w:r>
      <w:r>
        <w:rPr>
          <w:szCs w:val="21"/>
        </w:rPr>
        <w:t>基础减振、厂房隔声措施</w:t>
      </w:r>
      <w:r>
        <w:rPr>
          <w:rFonts w:hint="eastAsia"/>
          <w:szCs w:val="21"/>
        </w:rPr>
        <w:t>。</w:t>
      </w:r>
    </w:p>
    <w:p>
      <w:pPr>
        <w:pStyle w:val="31"/>
      </w:pPr>
      <w:bookmarkStart w:id="202" w:name="_Toc71036660"/>
      <w:r>
        <w:t>3.3.</w:t>
      </w:r>
      <w:r>
        <w:rPr>
          <w:rFonts w:hint="eastAsia"/>
        </w:rPr>
        <w:t>8</w:t>
      </w:r>
      <w:r>
        <w:t>环保“三同时”履行情况</w:t>
      </w:r>
      <w:bookmarkEnd w:id="202"/>
    </w:p>
    <w:p>
      <w:pPr>
        <w:pStyle w:val="2"/>
      </w:pPr>
      <w:r>
        <w:rPr>
          <w:bCs/>
        </w:rPr>
        <w:t>五台县安顺源石料有限公司</w:t>
      </w:r>
      <w:r>
        <w:t>于200</w:t>
      </w:r>
      <w:r>
        <w:rPr>
          <w:rFonts w:hint="eastAsia"/>
        </w:rPr>
        <w:t>6</w:t>
      </w:r>
      <w:r>
        <w:t>年8月</w:t>
      </w:r>
      <w:r>
        <w:rPr>
          <w:rFonts w:hint="eastAsia"/>
        </w:rPr>
        <w:t>20日在原五台县环境保护局备案了《</w:t>
      </w:r>
      <w:r>
        <w:t>五台县</w:t>
      </w:r>
      <w:r>
        <w:rPr>
          <w:rFonts w:hint="eastAsia"/>
        </w:rPr>
        <w:t>高洪口</w:t>
      </w:r>
      <w:r>
        <w:t>乡河口村鑫海石料厂石灰岩新建项目环境影响</w:t>
      </w:r>
      <w:r>
        <w:rPr>
          <w:rFonts w:hint="eastAsia"/>
        </w:rPr>
        <w:t>登记</w:t>
      </w:r>
      <w:r>
        <w:t>表》</w:t>
      </w:r>
      <w:r>
        <w:rPr>
          <w:rFonts w:hint="eastAsia"/>
        </w:rPr>
        <w:t>，但未组织验收，未提交“水土保持方案”。</w:t>
      </w:r>
    </w:p>
    <w:p>
      <w:pPr>
        <w:pStyle w:val="31"/>
      </w:pPr>
      <w:bookmarkStart w:id="203" w:name="_Toc71036661"/>
      <w:r>
        <w:rPr>
          <w:rFonts w:hint="eastAsia"/>
        </w:rPr>
        <w:t>3.3.9</w:t>
      </w:r>
      <w:r>
        <w:t>企业环境保护管理工作调查与评价</w:t>
      </w:r>
      <w:bookmarkEnd w:id="203"/>
    </w:p>
    <w:p>
      <w:pPr>
        <w:pStyle w:val="2"/>
      </w:pPr>
      <w:bookmarkStart w:id="204" w:name="OLE_LINK15"/>
      <w:r>
        <w:rPr>
          <w:rFonts w:hint="eastAsia" w:ascii="Times New Roman" w:hAnsi="Times New Roman" w:cs="Times New Roman"/>
        </w:rPr>
        <w:t>矿山</w:t>
      </w:r>
      <w:r>
        <w:rPr>
          <w:rFonts w:ascii="Times New Roman" w:hAnsi="Times New Roman" w:cs="Times New Roman"/>
        </w:rPr>
        <w:t>在矿长的带领和监督下负责本企业环保工作，设立各项环保规章制度，同时定期组织开展采区边坡巡查工作。但到目前为止，</w:t>
      </w:r>
      <w:r>
        <w:rPr>
          <w:rFonts w:hint="eastAsia" w:ascii="Times New Roman" w:hAnsi="Times New Roman" w:cs="Times New Roman"/>
        </w:rPr>
        <w:t>矿山</w:t>
      </w:r>
      <w:r>
        <w:rPr>
          <w:rFonts w:ascii="Times New Roman" w:hAnsi="Times New Roman" w:cs="Times New Roman"/>
        </w:rPr>
        <w:t>环境管理机构技术力量仍相对薄弱，目前尚未成立专门的生态环境监控机构，未建立年审申报制度和季报制度。</w:t>
      </w:r>
      <w:bookmarkEnd w:id="204"/>
    </w:p>
    <w:p>
      <w:pPr>
        <w:pStyle w:val="30"/>
      </w:pPr>
      <w:bookmarkStart w:id="205" w:name="_Toc71036662"/>
      <w:r>
        <w:rPr>
          <w:rFonts w:hint="eastAsia"/>
        </w:rPr>
        <w:t>3.4矿山生态环境评价与预测</w:t>
      </w:r>
      <w:bookmarkEnd w:id="205"/>
    </w:p>
    <w:p>
      <w:pPr>
        <w:ind w:firstLine="480" w:firstLineChars="200"/>
        <w:rPr>
          <w:bCs/>
        </w:rPr>
      </w:pPr>
      <w:r>
        <w:rPr>
          <w:bCs/>
        </w:rPr>
        <w:t>1、采场对生态环境破坏程度预测评估</w:t>
      </w:r>
    </w:p>
    <w:p>
      <w:pPr>
        <w:ind w:firstLine="480" w:firstLineChars="200"/>
        <w:rPr>
          <w:bCs/>
        </w:rPr>
      </w:pPr>
      <w:r>
        <w:rPr>
          <w:bCs/>
        </w:rPr>
        <w:t>矿山随着采矿年限的延长，对生态环境的影响和破坏将逐渐加大，主要表现为露天采场的扩大。随着矿体的开采，露天开采境界内将会进行大面积的地表开挖工程，矿山设计开采</w:t>
      </w:r>
      <w:r>
        <w:rPr>
          <w:rFonts w:hint="eastAsia"/>
          <w:bCs/>
        </w:rPr>
        <w:t>1100-1075</w:t>
      </w:r>
      <w:r>
        <w:rPr>
          <w:bCs/>
        </w:rPr>
        <w:t>m标高的矿体，采场最大垂直深度</w:t>
      </w:r>
      <w:r>
        <w:rPr>
          <w:rFonts w:hint="eastAsia"/>
          <w:bCs/>
        </w:rPr>
        <w:t>25</w:t>
      </w:r>
      <w:r>
        <w:rPr>
          <w:bCs/>
        </w:rPr>
        <w:t>m，台阶阶段坡面角65º。对生态环境影响和破坏程度将继续加大，破坏面积将增加</w:t>
      </w:r>
      <w:r>
        <w:rPr>
          <w:rFonts w:hint="eastAsia"/>
          <w:bCs/>
        </w:rPr>
        <w:t>0.6366</w:t>
      </w:r>
      <w:r>
        <w:rPr>
          <w:bCs/>
        </w:rPr>
        <w:t>hm</w:t>
      </w:r>
      <w:r>
        <w:rPr>
          <w:bCs/>
          <w:vertAlign w:val="superscript"/>
        </w:rPr>
        <w:t>2</w:t>
      </w:r>
      <w:r>
        <w:rPr>
          <w:bCs/>
        </w:rPr>
        <w:t>，</w:t>
      </w:r>
      <w:r>
        <w:t>增加区域破坏的土地类型全部为其他草地，至矿山闭坑采场区共计破坏土地</w:t>
      </w:r>
      <w:r>
        <w:rPr>
          <w:rFonts w:hint="eastAsia"/>
        </w:rPr>
        <w:t>3.0701</w:t>
      </w:r>
      <w:r>
        <w:t>hm</w:t>
      </w:r>
      <w:r>
        <w:rPr>
          <w:vertAlign w:val="superscript"/>
        </w:rPr>
        <w:t>2</w:t>
      </w:r>
      <w:r>
        <w:t>，破坏土地类型全部为其它草地，</w:t>
      </w:r>
      <w:r>
        <w:rPr>
          <w:bCs/>
        </w:rPr>
        <w:t>矿山闭坑后，通过工程措施和植物措施对其进行生态恢复，对生态环境影响程度“严重”。</w:t>
      </w:r>
    </w:p>
    <w:p>
      <w:pPr>
        <w:pStyle w:val="2"/>
        <w:rPr>
          <w:rFonts w:ascii="Times New Roman" w:hAnsi="Times New Roman" w:cs="Times New Roman" w:eastAsiaTheme="minorEastAsia"/>
          <w:bCs/>
        </w:rPr>
      </w:pPr>
      <w:r>
        <w:rPr>
          <w:rFonts w:ascii="Times New Roman" w:hAnsi="Times New Roman" w:cs="Times New Roman" w:eastAsiaTheme="minorEastAsia"/>
          <w:spacing w:val="0"/>
        </w:rPr>
        <w:t>2</w:t>
      </w:r>
      <w:r>
        <w:rPr>
          <w:rFonts w:ascii="Times New Roman" w:cs="Times New Roman" w:hAnsiTheme="minorEastAsia" w:eastAsiaTheme="minorEastAsia"/>
          <w:spacing w:val="0"/>
        </w:rPr>
        <w:t>、</w:t>
      </w:r>
      <w:r>
        <w:rPr>
          <w:rFonts w:ascii="Times New Roman" w:cs="Times New Roman" w:hAnsiTheme="minorEastAsia" w:eastAsiaTheme="minorEastAsia"/>
          <w:bCs/>
        </w:rPr>
        <w:t>工业广场、办公生活区、堆料区</w:t>
      </w:r>
      <w:r>
        <w:rPr>
          <w:rFonts w:hint="eastAsia" w:ascii="Times New Roman" w:cs="Times New Roman" w:hAnsiTheme="minorEastAsia" w:eastAsiaTheme="minorEastAsia"/>
          <w:bCs/>
        </w:rPr>
        <w:t>、</w:t>
      </w:r>
      <w:r>
        <w:rPr>
          <w:rFonts w:ascii="Times New Roman" w:cs="Times New Roman" w:hAnsiTheme="minorEastAsia" w:eastAsiaTheme="minorEastAsia"/>
          <w:bCs/>
        </w:rPr>
        <w:t>废渣场及道路对生态环境破坏程度预测评估</w:t>
      </w:r>
    </w:p>
    <w:p>
      <w:pPr>
        <w:pStyle w:val="2"/>
        <w:rPr>
          <w:rFonts w:ascii="Times New Roman" w:hAnsi="Times New Roman" w:cs="Times New Roman" w:eastAsiaTheme="minorEastAsia"/>
          <w:bCs/>
        </w:rPr>
      </w:pPr>
      <w:r>
        <w:rPr>
          <w:rFonts w:ascii="Times New Roman" w:cs="Times New Roman" w:hAnsiTheme="minorEastAsia" w:eastAsiaTheme="minorEastAsia"/>
          <w:bCs/>
        </w:rPr>
        <w:t>参照</w:t>
      </w:r>
      <w:r>
        <w:rPr>
          <w:rFonts w:hint="eastAsia" w:ascii="Times New Roman" w:cs="Times New Roman" w:hAnsiTheme="minorEastAsia" w:eastAsiaTheme="minorEastAsia"/>
          <w:bCs/>
        </w:rPr>
        <w:t>“三合一”设计，</w:t>
      </w:r>
      <w:r>
        <w:rPr>
          <w:rFonts w:ascii="Times New Roman" w:cs="Times New Roman" w:hAnsiTheme="minorEastAsia" w:eastAsiaTheme="minorEastAsia"/>
          <w:bCs/>
        </w:rPr>
        <w:t>工业广场、办公生活区位于</w:t>
      </w:r>
      <w:r>
        <w:rPr>
          <w:rFonts w:ascii="Times New Roman" w:hAnsi="Times New Roman" w:cs="Times New Roman" w:eastAsiaTheme="minorEastAsia"/>
          <w:bCs/>
        </w:rPr>
        <w:t>300m</w:t>
      </w:r>
      <w:r>
        <w:rPr>
          <w:rFonts w:ascii="Times New Roman" w:cs="Times New Roman" w:hAnsiTheme="minorEastAsia" w:eastAsiaTheme="minorEastAsia"/>
          <w:bCs/>
        </w:rPr>
        <w:t>爆破警戒线内，搬迁工业场地及办公生活区</w:t>
      </w:r>
      <w:r>
        <w:rPr>
          <w:rFonts w:hint="eastAsia" w:ascii="Times New Roman" w:cs="Times New Roman" w:hAnsiTheme="minorEastAsia" w:eastAsiaTheme="minorEastAsia"/>
          <w:bCs/>
        </w:rPr>
        <w:t>，</w:t>
      </w:r>
      <w:r>
        <w:rPr>
          <w:rFonts w:ascii="Times New Roman" w:cs="Times New Roman" w:hAnsiTheme="minorEastAsia" w:eastAsiaTheme="minorEastAsia"/>
          <w:bCs/>
        </w:rPr>
        <w:t>拟建工业场地占地面积</w:t>
      </w:r>
      <w:r>
        <w:rPr>
          <w:rFonts w:ascii="Times New Roman" w:hAnsi="Times New Roman" w:cs="Times New Roman" w:eastAsiaTheme="minorEastAsia"/>
          <w:bCs/>
        </w:rPr>
        <w:t>0.3857hm</w:t>
      </w:r>
      <w:r>
        <w:rPr>
          <w:rFonts w:ascii="Times New Roman" w:hAnsi="Times New Roman" w:cs="Times New Roman" w:eastAsiaTheme="minorEastAsia"/>
          <w:bCs/>
          <w:vertAlign w:val="superscript"/>
        </w:rPr>
        <w:t>2</w:t>
      </w:r>
      <w:r>
        <w:rPr>
          <w:rFonts w:ascii="Times New Roman" w:cs="Times New Roman" w:hAnsiTheme="minorEastAsia" w:eastAsiaTheme="minorEastAsia"/>
          <w:bCs/>
        </w:rPr>
        <w:t>，拟建办公生活区占地面积</w:t>
      </w:r>
      <w:r>
        <w:rPr>
          <w:rFonts w:ascii="Times New Roman" w:hAnsi="Times New Roman" w:cs="Times New Roman" w:eastAsiaTheme="minorEastAsia"/>
          <w:bCs/>
        </w:rPr>
        <w:t>0.0489hm</w:t>
      </w:r>
      <w:r>
        <w:rPr>
          <w:rFonts w:ascii="Times New Roman" w:hAnsi="Times New Roman" w:cs="Times New Roman" w:eastAsiaTheme="minorEastAsia"/>
          <w:bCs/>
          <w:vertAlign w:val="superscript"/>
        </w:rPr>
        <w:t>2</w:t>
      </w:r>
      <w:r>
        <w:rPr>
          <w:rFonts w:ascii="Times New Roman" w:cs="Times New Roman" w:hAnsiTheme="minorEastAsia" w:eastAsiaTheme="minorEastAsia"/>
          <w:bCs/>
        </w:rPr>
        <w:t>，预测工业广场</w:t>
      </w:r>
      <w:r>
        <w:rPr>
          <w:rFonts w:hint="eastAsia" w:ascii="Times New Roman" w:cs="Times New Roman" w:hAnsiTheme="minorEastAsia" w:eastAsiaTheme="minorEastAsia"/>
          <w:bCs/>
        </w:rPr>
        <w:t>、</w:t>
      </w:r>
      <w:r>
        <w:rPr>
          <w:rFonts w:ascii="Times New Roman" w:cs="Times New Roman" w:hAnsiTheme="minorEastAsia" w:eastAsiaTheme="minorEastAsia"/>
          <w:bCs/>
        </w:rPr>
        <w:t>办公区的修建对生态环境影响程度</w:t>
      </w:r>
      <w:r>
        <w:rPr>
          <w:rFonts w:ascii="Times New Roman" w:hAnsi="Times New Roman" w:cs="Times New Roman" w:eastAsiaTheme="minorEastAsia"/>
          <w:bCs/>
        </w:rPr>
        <w:t>“</w:t>
      </w:r>
      <w:r>
        <w:rPr>
          <w:rFonts w:ascii="Times New Roman" w:cs="Times New Roman" w:hAnsiTheme="minorEastAsia" w:eastAsiaTheme="minorEastAsia"/>
          <w:bCs/>
        </w:rPr>
        <w:t>较严重</w:t>
      </w:r>
      <w:r>
        <w:rPr>
          <w:rFonts w:ascii="Times New Roman" w:hAnsi="Times New Roman" w:cs="Times New Roman" w:eastAsiaTheme="minorEastAsia"/>
          <w:bCs/>
        </w:rPr>
        <w:t>”</w:t>
      </w:r>
      <w:r>
        <w:rPr>
          <w:rFonts w:ascii="Times New Roman" w:cs="Times New Roman" w:hAnsiTheme="minorEastAsia" w:eastAsiaTheme="minorEastAsia"/>
          <w:bCs/>
        </w:rPr>
        <w:t>。</w:t>
      </w:r>
    </w:p>
    <w:p>
      <w:pPr>
        <w:pStyle w:val="2"/>
        <w:rPr>
          <w:rFonts w:ascii="Times New Roman" w:hAnsi="Times New Roman" w:cs="Times New Roman" w:eastAsiaTheme="minorEastAsia"/>
        </w:rPr>
      </w:pPr>
      <w:r>
        <w:rPr>
          <w:rFonts w:ascii="Times New Roman" w:cs="Times New Roman" w:hAnsiTheme="minorEastAsia" w:eastAsiaTheme="minorEastAsia"/>
          <w:bCs/>
        </w:rPr>
        <w:t>新旧工业广场、新旧办公生活区、堆料区、废渣场及新旧道路</w:t>
      </w:r>
      <w:r>
        <w:rPr>
          <w:rFonts w:ascii="Times New Roman" w:cs="Times New Roman" w:hAnsiTheme="minorEastAsia" w:eastAsiaTheme="minorEastAsia"/>
        </w:rPr>
        <w:t>破坏土地面积将增加到</w:t>
      </w:r>
      <w:r>
        <w:rPr>
          <w:rFonts w:ascii="Times New Roman" w:hAnsi="Times New Roman" w:cs="Times New Roman" w:eastAsiaTheme="minorEastAsia"/>
        </w:rPr>
        <w:t>2.6877hm</w:t>
      </w:r>
      <w:r>
        <w:rPr>
          <w:rFonts w:ascii="Times New Roman" w:hAnsi="Times New Roman" w:cs="Times New Roman" w:eastAsiaTheme="minorEastAsia"/>
          <w:vertAlign w:val="superscript"/>
        </w:rPr>
        <w:t>2</w:t>
      </w:r>
      <w:r>
        <w:rPr>
          <w:rFonts w:ascii="Times New Roman" w:cs="Times New Roman" w:hAnsiTheme="minorEastAsia" w:eastAsiaTheme="minorEastAsia"/>
        </w:rPr>
        <w:t>，其中占用破坏旱地面积</w:t>
      </w:r>
      <w:r>
        <w:rPr>
          <w:rFonts w:ascii="Times New Roman" w:hAnsi="Times New Roman" w:cs="Times New Roman" w:eastAsiaTheme="minorEastAsia"/>
        </w:rPr>
        <w:t>0.7294hm</w:t>
      </w:r>
      <w:r>
        <w:rPr>
          <w:rFonts w:ascii="Times New Roman" w:hAnsi="Times New Roman" w:cs="Times New Roman" w:eastAsiaTheme="minorEastAsia"/>
          <w:vertAlign w:val="superscript"/>
        </w:rPr>
        <w:t>2</w:t>
      </w:r>
      <w:r>
        <w:rPr>
          <w:rFonts w:ascii="Times New Roman" w:cs="Times New Roman" w:hAnsiTheme="minorEastAsia" w:eastAsiaTheme="minorEastAsia"/>
        </w:rPr>
        <w:t>，占用破坏其他草地面积</w:t>
      </w:r>
      <w:r>
        <w:rPr>
          <w:rFonts w:ascii="Times New Roman" w:hAnsi="Times New Roman" w:cs="Times New Roman" w:eastAsiaTheme="minorEastAsia"/>
        </w:rPr>
        <w:t>1.1759hm</w:t>
      </w:r>
      <w:r>
        <w:rPr>
          <w:rFonts w:ascii="Times New Roman" w:hAnsi="Times New Roman" w:cs="Times New Roman" w:eastAsiaTheme="minorEastAsia"/>
          <w:vertAlign w:val="superscript"/>
        </w:rPr>
        <w:t>2</w:t>
      </w:r>
      <w:r>
        <w:rPr>
          <w:rFonts w:ascii="Times New Roman" w:cs="Times New Roman" w:hAnsiTheme="minorEastAsia" w:eastAsiaTheme="minorEastAsia"/>
        </w:rPr>
        <w:t>，占用破坏内陆滩涂面积</w:t>
      </w:r>
      <w:r>
        <w:rPr>
          <w:rFonts w:ascii="Times New Roman" w:hAnsi="Times New Roman" w:cs="Times New Roman" w:eastAsiaTheme="minorEastAsia"/>
        </w:rPr>
        <w:t>0.7294hm</w:t>
      </w:r>
      <w:r>
        <w:rPr>
          <w:rFonts w:ascii="Times New Roman" w:hAnsi="Times New Roman" w:cs="Times New Roman" w:eastAsiaTheme="minorEastAsia"/>
          <w:vertAlign w:val="superscript"/>
        </w:rPr>
        <w:t>2</w:t>
      </w:r>
      <w:r>
        <w:rPr>
          <w:rFonts w:ascii="Times New Roman" w:cs="Times New Roman" w:hAnsiTheme="minorEastAsia" w:eastAsiaTheme="minorEastAsia"/>
        </w:rPr>
        <w:t>，</w:t>
      </w:r>
      <w:r>
        <w:rPr>
          <w:rFonts w:ascii="Times New Roman" w:cs="Times New Roman" w:hAnsiTheme="minorEastAsia" w:eastAsiaTheme="minorEastAsia"/>
          <w:bCs/>
        </w:rPr>
        <w:t>预测工业广场、办公生活区及道路对生态环境影响程度</w:t>
      </w:r>
      <w:r>
        <w:rPr>
          <w:rFonts w:ascii="Times New Roman" w:hAnsi="Times New Roman" w:cs="Times New Roman" w:eastAsiaTheme="minorEastAsia"/>
          <w:bCs/>
        </w:rPr>
        <w:t>“</w:t>
      </w:r>
      <w:r>
        <w:rPr>
          <w:rFonts w:ascii="Times New Roman" w:cs="Times New Roman" w:hAnsiTheme="minorEastAsia" w:eastAsiaTheme="minorEastAsia"/>
          <w:bCs/>
        </w:rPr>
        <w:t>较严重</w:t>
      </w:r>
      <w:r>
        <w:rPr>
          <w:rFonts w:ascii="Times New Roman" w:hAnsi="Times New Roman" w:cs="Times New Roman" w:eastAsiaTheme="minorEastAsia"/>
          <w:bCs/>
        </w:rPr>
        <w:t>”</w:t>
      </w:r>
      <w:r>
        <w:rPr>
          <w:rFonts w:ascii="Times New Roman" w:cs="Times New Roman" w:hAnsiTheme="minorEastAsia" w:eastAsiaTheme="minorEastAsia"/>
          <w:bCs/>
        </w:rPr>
        <w:t>。</w:t>
      </w:r>
    </w:p>
    <w:p>
      <w:pPr>
        <w:ind w:firstLine="480" w:firstLineChars="200"/>
        <w:rPr>
          <w:rFonts w:ascii="Times New Roman" w:hAnsi="Times New Roman" w:eastAsiaTheme="minorEastAsia"/>
        </w:rPr>
      </w:pPr>
      <w:r>
        <w:rPr>
          <w:rFonts w:ascii="Times New Roman" w:hAnsi="Times New Roman" w:eastAsiaTheme="minorEastAsia"/>
        </w:rPr>
        <w:t>3</w:t>
      </w:r>
      <w:r>
        <w:rPr>
          <w:rFonts w:ascii="Times New Roman" w:hAnsiTheme="minorEastAsia" w:eastAsiaTheme="minorEastAsia"/>
        </w:rPr>
        <w:t>、对生物资源的影响分析</w:t>
      </w:r>
    </w:p>
    <w:p>
      <w:pPr>
        <w:ind w:firstLine="480" w:firstLineChars="200"/>
      </w:pPr>
      <w:r>
        <w:t>项目区范围内无珍稀濒危保护动、植物的自然分布。</w:t>
      </w:r>
    </w:p>
    <w:p>
      <w:pPr>
        <w:ind w:firstLine="480" w:firstLineChars="200"/>
      </w:pPr>
      <w:r>
        <w:t>矿区及周围植被覆盖较</w:t>
      </w:r>
      <w:r>
        <w:rPr>
          <w:rFonts w:hint="eastAsia"/>
        </w:rPr>
        <w:t>少</w:t>
      </w:r>
      <w:r>
        <w:t>，对植物的生长分布规律和动物的迁徙、栖息活动规律不会产生大的影响，对生物资源的影响不大。</w:t>
      </w:r>
    </w:p>
    <w:p>
      <w:pPr>
        <w:ind w:firstLine="480" w:firstLineChars="200"/>
        <w:rPr>
          <w:rFonts w:ascii="Times New Roman" w:hAnsi="Times New Roman"/>
        </w:rPr>
      </w:pPr>
      <w:r>
        <w:rPr>
          <w:rFonts w:ascii="Times New Roman" w:hAnsi="Times New Roman"/>
        </w:rPr>
        <w:t>通过对矿山大气污染物、水污染、固体废物污染物排放情况及治理措施、以及土地利用、水土流失情况进行分析后，汇总得出以下结论：</w:t>
      </w:r>
    </w:p>
    <w:p>
      <w:pPr>
        <w:ind w:firstLine="480" w:firstLineChars="200"/>
        <w:rPr>
          <w:rFonts w:ascii="Times New Roman" w:hAnsi="Times New Roman"/>
        </w:rPr>
      </w:pPr>
      <w:r>
        <w:rPr>
          <w:rFonts w:ascii="Times New Roman" w:hAnsi="Times New Roman"/>
        </w:rPr>
        <w:t>1、矿山调查范围内的土地利用类型有：旱地、其他草地和</w:t>
      </w:r>
      <w:r>
        <w:rPr>
          <w:rFonts w:hint="eastAsia" w:ascii="Times New Roman" w:hAnsi="Times New Roman"/>
        </w:rPr>
        <w:t>内陆</w:t>
      </w:r>
      <w:r>
        <w:rPr>
          <w:rFonts w:ascii="Times New Roman" w:hAnsi="Times New Roman"/>
        </w:rPr>
        <w:t>滩涂。由于矿山的建设与扩展，土地遭受了一定的破坏，土地挖填较严重，地表裸露较严重，生态环境的破坏也相对较重。但企业对于区域生态环境基本都没经过治理，区域生态环境总体较差，需要采取治理措施进行全面治理。</w:t>
      </w:r>
    </w:p>
    <w:p>
      <w:pPr>
        <w:ind w:firstLine="480" w:firstLineChars="200"/>
        <w:rPr>
          <w:rFonts w:ascii="Times New Roman" w:hAnsi="Times New Roman"/>
        </w:rPr>
      </w:pPr>
      <w:r>
        <w:rPr>
          <w:rFonts w:ascii="Times New Roman" w:hAnsi="Times New Roman"/>
        </w:rPr>
        <w:t>2、矿山地处</w:t>
      </w:r>
      <w:r>
        <w:rPr>
          <w:rFonts w:hint="eastAsia" w:ascii="Times New Roman" w:hAnsi="Times New Roman"/>
        </w:rPr>
        <w:t>低中</w:t>
      </w:r>
      <w:r>
        <w:rPr>
          <w:rFonts w:ascii="Times New Roman" w:hAnsi="Times New Roman"/>
        </w:rPr>
        <w:t>山区，挖填地表破坏严重，水土流失严重，矿区内水土流失类型以极强度为主，强度流失也较严重，水土流失类型为水蚀，需要对矿区进行综合整治以遏制这种情况的继续加剧。</w:t>
      </w:r>
    </w:p>
    <w:p>
      <w:pPr>
        <w:pStyle w:val="28"/>
        <w:ind w:firstLine="480" w:firstLineChars="200"/>
        <w:rPr>
          <w:rFonts w:ascii="Times New Roman" w:hAnsi="Times New Roman" w:cs="Times New Roman"/>
        </w:rPr>
      </w:pPr>
      <w:r>
        <w:rPr>
          <w:rFonts w:ascii="Times New Roman" w:hAnsi="Times New Roman" w:cs="Times New Roman"/>
        </w:rPr>
        <w:t>由以上分析可知，矿山在生态环境与“三废”治理方面的治理措施均欠缺，需要制定完善的措施对本企业的各类问题进行规划治理，将矿山开采对生态环境的破坏降至最低。</w:t>
      </w:r>
    </w:p>
    <w:p>
      <w:pPr>
        <w:pStyle w:val="28"/>
        <w:ind w:firstLine="480" w:firstLineChars="200"/>
        <w:rPr>
          <w:bCs/>
        </w:rPr>
      </w:pPr>
      <w:r>
        <w:t>结合现状调查，存</w:t>
      </w:r>
      <w:r>
        <w:rPr>
          <w:bCs/>
        </w:rPr>
        <w:t>在的主要生态环境问题见表</w:t>
      </w:r>
      <w:r>
        <w:rPr>
          <w:rFonts w:hint="eastAsia"/>
          <w:bCs/>
        </w:rPr>
        <w:t>3-4</w:t>
      </w:r>
      <w:r>
        <w:rPr>
          <w:bCs/>
        </w:rPr>
        <w:t>。</w:t>
      </w:r>
    </w:p>
    <w:p>
      <w:pPr>
        <w:ind w:firstLine="480" w:firstLineChars="200"/>
        <w:rPr>
          <w:rFonts w:ascii="Times New Roman" w:hAnsi="Times New Roman"/>
        </w:rPr>
        <w:sectPr>
          <w:pgSz w:w="11906" w:h="16838"/>
          <w:pgMar w:top="1417" w:right="1417" w:bottom="1417" w:left="1417" w:header="851" w:footer="850" w:gutter="0"/>
          <w:cols w:space="425" w:num="1"/>
          <w:docGrid w:type="lines" w:linePitch="312" w:charSpace="0"/>
        </w:sectPr>
      </w:pPr>
    </w:p>
    <w:p>
      <w:pPr>
        <w:ind w:firstLine="482"/>
        <w:jc w:val="center"/>
        <w:rPr>
          <w:b/>
        </w:rPr>
      </w:pPr>
      <w:r>
        <w:rPr>
          <w:b/>
        </w:rPr>
        <w:t>表4-6  存在的主要生态环境问题</w:t>
      </w:r>
    </w:p>
    <w:tbl>
      <w:tblPr>
        <w:tblStyle w:val="21"/>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38"/>
        <w:gridCol w:w="1413"/>
        <w:gridCol w:w="6005"/>
        <w:gridCol w:w="621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538" w:type="dxa"/>
            <w:vAlign w:val="center"/>
          </w:tcPr>
          <w:p>
            <w:pPr>
              <w:pStyle w:val="18"/>
              <w:rPr>
                <w:color w:val="auto"/>
              </w:rPr>
            </w:pPr>
            <w:r>
              <w:rPr>
                <w:color w:val="auto"/>
              </w:rPr>
              <w:t>序号</w:t>
            </w:r>
          </w:p>
        </w:tc>
        <w:tc>
          <w:tcPr>
            <w:tcW w:w="1413" w:type="dxa"/>
            <w:vAlign w:val="center"/>
          </w:tcPr>
          <w:p>
            <w:pPr>
              <w:pStyle w:val="18"/>
              <w:rPr>
                <w:color w:val="auto"/>
              </w:rPr>
            </w:pPr>
            <w:r>
              <w:rPr>
                <w:color w:val="auto"/>
              </w:rPr>
              <w:t>项目</w:t>
            </w:r>
          </w:p>
        </w:tc>
        <w:tc>
          <w:tcPr>
            <w:tcW w:w="6005" w:type="dxa"/>
            <w:vAlign w:val="center"/>
          </w:tcPr>
          <w:p>
            <w:pPr>
              <w:pStyle w:val="18"/>
              <w:rPr>
                <w:color w:val="auto"/>
              </w:rPr>
            </w:pPr>
            <w:r>
              <w:rPr>
                <w:color w:val="auto"/>
              </w:rPr>
              <w:t>问题量化描述</w:t>
            </w:r>
          </w:p>
        </w:tc>
        <w:tc>
          <w:tcPr>
            <w:tcW w:w="6218" w:type="dxa"/>
            <w:vAlign w:val="center"/>
          </w:tcPr>
          <w:p>
            <w:pPr>
              <w:pStyle w:val="18"/>
              <w:rPr>
                <w:color w:val="auto"/>
              </w:rPr>
            </w:pPr>
            <w:r>
              <w:rPr>
                <w:color w:val="auto"/>
              </w:rPr>
              <w:t>本期《方案》需解决问题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538" w:type="dxa"/>
            <w:vAlign w:val="center"/>
          </w:tcPr>
          <w:p>
            <w:pPr>
              <w:pStyle w:val="18"/>
              <w:rPr>
                <w:color w:val="auto"/>
              </w:rPr>
            </w:pPr>
            <w:r>
              <w:rPr>
                <w:rFonts w:hint="eastAsia"/>
                <w:color w:val="auto"/>
              </w:rPr>
              <w:t>1</w:t>
            </w:r>
          </w:p>
        </w:tc>
        <w:tc>
          <w:tcPr>
            <w:tcW w:w="1413" w:type="dxa"/>
            <w:vAlign w:val="center"/>
          </w:tcPr>
          <w:p>
            <w:pPr>
              <w:pStyle w:val="18"/>
              <w:rPr>
                <w:color w:val="auto"/>
              </w:rPr>
            </w:pPr>
            <w:r>
              <w:rPr>
                <w:color w:val="auto"/>
              </w:rPr>
              <w:t>露天采场</w:t>
            </w:r>
          </w:p>
        </w:tc>
        <w:tc>
          <w:tcPr>
            <w:tcW w:w="6005" w:type="dxa"/>
          </w:tcPr>
          <w:p>
            <w:pPr>
              <w:pStyle w:val="18"/>
              <w:jc w:val="both"/>
              <w:rPr>
                <w:color w:val="auto"/>
              </w:rPr>
            </w:pPr>
            <w:r>
              <w:rPr>
                <w:color w:val="auto"/>
                <w:szCs w:val="24"/>
              </w:rPr>
              <w:t>露天采场面积2.4848hm</w:t>
            </w:r>
            <w:r>
              <w:rPr>
                <w:color w:val="auto"/>
                <w:szCs w:val="24"/>
                <w:vertAlign w:val="superscript"/>
              </w:rPr>
              <w:t>2</w:t>
            </w:r>
            <w:r>
              <w:rPr>
                <w:rFonts w:hint="eastAsia"/>
                <w:color w:val="auto"/>
                <w:szCs w:val="24"/>
              </w:rPr>
              <w:t>，</w:t>
            </w:r>
            <w:r>
              <w:rPr>
                <w:color w:val="auto"/>
                <w:szCs w:val="24"/>
              </w:rPr>
              <w:t>采场边坡裸露地表，山坡未进行护坡处理，也没有山坡集水的防洪措施，地表挖填比较严重，地表植被覆盖率较低</w:t>
            </w:r>
          </w:p>
        </w:tc>
        <w:tc>
          <w:tcPr>
            <w:tcW w:w="6218" w:type="dxa"/>
          </w:tcPr>
          <w:p>
            <w:pPr>
              <w:pStyle w:val="18"/>
              <w:jc w:val="both"/>
              <w:rPr>
                <w:color w:val="auto"/>
              </w:rPr>
            </w:pPr>
            <w:r>
              <w:rPr>
                <w:color w:val="auto"/>
              </w:rPr>
              <w:t>参照</w:t>
            </w:r>
            <w:r>
              <w:rPr>
                <w:rFonts w:hint="eastAsia"/>
                <w:color w:val="auto"/>
              </w:rPr>
              <w:t>“三合一”方案对采场边坡危岩体进行清理，不再利用的采场进行覆绿等工程，在已形成的采场内修建规范的废渣场及其配套设施。今后开采时采用湿式开采作业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538" w:type="dxa"/>
            <w:vAlign w:val="center"/>
          </w:tcPr>
          <w:p>
            <w:pPr>
              <w:pStyle w:val="18"/>
              <w:rPr>
                <w:color w:val="auto"/>
              </w:rPr>
            </w:pPr>
            <w:r>
              <w:rPr>
                <w:rFonts w:hint="eastAsia"/>
                <w:color w:val="auto"/>
              </w:rPr>
              <w:t>2</w:t>
            </w:r>
          </w:p>
        </w:tc>
        <w:tc>
          <w:tcPr>
            <w:tcW w:w="1413" w:type="dxa"/>
            <w:vAlign w:val="center"/>
          </w:tcPr>
          <w:p>
            <w:pPr>
              <w:pStyle w:val="18"/>
              <w:rPr>
                <w:color w:val="auto"/>
              </w:rPr>
            </w:pPr>
            <w:r>
              <w:rPr>
                <w:rFonts w:hint="eastAsia"/>
                <w:color w:val="auto"/>
              </w:rPr>
              <w:t>废渣场、堆料区</w:t>
            </w:r>
          </w:p>
        </w:tc>
        <w:tc>
          <w:tcPr>
            <w:tcW w:w="6005" w:type="dxa"/>
          </w:tcPr>
          <w:p>
            <w:pPr>
              <w:pStyle w:val="18"/>
              <w:jc w:val="both"/>
              <w:rPr>
                <w:color w:val="auto"/>
              </w:rPr>
            </w:pPr>
            <w:r>
              <w:rPr>
                <w:color w:val="auto"/>
                <w:szCs w:val="24"/>
              </w:rPr>
              <w:t>矿山尚未修建规范的废渣场，生产的废渣就近堆放于矿界外工业广场西北部沟谷内，占地面积约</w:t>
            </w:r>
            <w:r>
              <w:rPr>
                <w:rFonts w:hint="eastAsia"/>
                <w:color w:val="auto"/>
                <w:szCs w:val="24"/>
              </w:rPr>
              <w:t>0.</w:t>
            </w:r>
            <w:r>
              <w:rPr>
                <w:color w:val="auto"/>
                <w:szCs w:val="24"/>
              </w:rPr>
              <w:t>5128</w:t>
            </w:r>
            <w:r>
              <w:rPr>
                <w:rFonts w:hint="eastAsia"/>
                <w:color w:val="auto"/>
                <w:szCs w:val="24"/>
              </w:rPr>
              <w:t>h</w:t>
            </w:r>
            <w:r>
              <w:rPr>
                <w:color w:val="auto"/>
                <w:szCs w:val="24"/>
              </w:rPr>
              <w:t>m</w:t>
            </w:r>
            <w:r>
              <w:rPr>
                <w:color w:val="auto"/>
                <w:szCs w:val="24"/>
                <w:vertAlign w:val="superscript"/>
              </w:rPr>
              <w:t>2</w:t>
            </w:r>
            <w:r>
              <w:rPr>
                <w:color w:val="auto"/>
                <w:szCs w:val="24"/>
              </w:rPr>
              <w:t>。</w:t>
            </w:r>
            <w:r>
              <w:rPr>
                <w:color w:val="auto"/>
                <w:spacing w:val="0"/>
                <w:szCs w:val="24"/>
              </w:rPr>
              <w:t>矿山有两处料堆顺沟谷一堆放在矿区西部，其中料堆一区占地面积约</w:t>
            </w:r>
            <w:r>
              <w:rPr>
                <w:rFonts w:hint="eastAsia"/>
                <w:color w:val="auto"/>
                <w:spacing w:val="0"/>
                <w:szCs w:val="24"/>
              </w:rPr>
              <w:t>0.</w:t>
            </w:r>
            <w:r>
              <w:rPr>
                <w:color w:val="auto"/>
                <w:spacing w:val="0"/>
                <w:szCs w:val="24"/>
              </w:rPr>
              <w:t>6588</w:t>
            </w:r>
            <w:r>
              <w:rPr>
                <w:rFonts w:hint="eastAsia"/>
                <w:color w:val="auto"/>
                <w:spacing w:val="0"/>
                <w:szCs w:val="24"/>
              </w:rPr>
              <w:t>h</w:t>
            </w:r>
            <w:r>
              <w:rPr>
                <w:color w:val="auto"/>
                <w:spacing w:val="0"/>
                <w:szCs w:val="24"/>
              </w:rPr>
              <w:t>m</w:t>
            </w:r>
            <w:r>
              <w:rPr>
                <w:color w:val="auto"/>
                <w:spacing w:val="0"/>
                <w:szCs w:val="24"/>
                <w:vertAlign w:val="superscript"/>
              </w:rPr>
              <w:t>2</w:t>
            </w:r>
            <w:r>
              <w:rPr>
                <w:color w:val="auto"/>
                <w:spacing w:val="0"/>
                <w:szCs w:val="24"/>
              </w:rPr>
              <w:t>，料堆二区占地面积约</w:t>
            </w:r>
            <w:r>
              <w:rPr>
                <w:rFonts w:hint="eastAsia"/>
                <w:color w:val="auto"/>
                <w:spacing w:val="0"/>
                <w:szCs w:val="24"/>
              </w:rPr>
              <w:t>0.</w:t>
            </w:r>
            <w:r>
              <w:rPr>
                <w:color w:val="auto"/>
                <w:spacing w:val="0"/>
                <w:szCs w:val="24"/>
              </w:rPr>
              <w:t>4063</w:t>
            </w:r>
            <w:r>
              <w:rPr>
                <w:rFonts w:hint="eastAsia"/>
                <w:color w:val="auto"/>
                <w:spacing w:val="0"/>
                <w:szCs w:val="24"/>
              </w:rPr>
              <w:t>h</w:t>
            </w:r>
            <w:r>
              <w:rPr>
                <w:color w:val="auto"/>
                <w:spacing w:val="0"/>
                <w:szCs w:val="24"/>
              </w:rPr>
              <w:t>m</w:t>
            </w:r>
            <w:r>
              <w:rPr>
                <w:color w:val="auto"/>
                <w:spacing w:val="0"/>
                <w:szCs w:val="24"/>
                <w:vertAlign w:val="superscript"/>
              </w:rPr>
              <w:t>2</w:t>
            </w:r>
            <w:r>
              <w:rPr>
                <w:color w:val="auto"/>
                <w:sz w:val="24"/>
              </w:rPr>
              <w:t>，</w:t>
            </w:r>
          </w:p>
        </w:tc>
        <w:tc>
          <w:tcPr>
            <w:tcW w:w="6218" w:type="dxa"/>
          </w:tcPr>
          <w:p>
            <w:pPr>
              <w:pStyle w:val="18"/>
              <w:jc w:val="both"/>
              <w:rPr>
                <w:color w:val="auto"/>
              </w:rPr>
            </w:pPr>
            <w:r>
              <w:rPr>
                <w:color w:val="auto"/>
              </w:rPr>
              <w:t>对废渣堆进行清理</w:t>
            </w:r>
            <w:r>
              <w:rPr>
                <w:rFonts w:hint="eastAsia"/>
                <w:color w:val="auto"/>
              </w:rPr>
              <w:t>、</w:t>
            </w:r>
            <w:r>
              <w:rPr>
                <w:color w:val="auto"/>
              </w:rPr>
              <w:t>铺路</w:t>
            </w:r>
            <w:r>
              <w:rPr>
                <w:rFonts w:hint="eastAsia"/>
                <w:color w:val="auto"/>
              </w:rPr>
              <w:t>、</w:t>
            </w:r>
            <w:r>
              <w:rPr>
                <w:color w:val="auto"/>
              </w:rPr>
              <w:t>外销</w:t>
            </w:r>
            <w:r>
              <w:rPr>
                <w:rFonts w:hint="eastAsia"/>
                <w:color w:val="auto"/>
              </w:rPr>
              <w:t>，</w:t>
            </w:r>
            <w:r>
              <w:rPr>
                <w:color w:val="auto"/>
              </w:rPr>
              <w:t>剩余部分运至拟建废渣场地内</w:t>
            </w:r>
            <w:r>
              <w:rPr>
                <w:rFonts w:hint="eastAsia"/>
                <w:color w:val="auto"/>
              </w:rPr>
              <w:t>。</w:t>
            </w:r>
            <w:r>
              <w:rPr>
                <w:color w:val="auto"/>
              </w:rPr>
              <w:t>尽快外销堆料区的成品料</w:t>
            </w:r>
            <w:r>
              <w:rPr>
                <w:rFonts w:hint="eastAsia"/>
                <w:color w:val="auto"/>
              </w:rPr>
              <w:t>。</w:t>
            </w:r>
            <w:r>
              <w:rPr>
                <w:color w:val="auto"/>
              </w:rPr>
              <w:t>清场后对场地进行复垦工作</w:t>
            </w:r>
            <w:r>
              <w:rPr>
                <w:rFonts w:hint="eastAsia"/>
                <w:color w:val="auto"/>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538" w:type="dxa"/>
            <w:vAlign w:val="center"/>
          </w:tcPr>
          <w:p>
            <w:pPr>
              <w:pStyle w:val="18"/>
              <w:rPr>
                <w:color w:val="auto"/>
              </w:rPr>
            </w:pPr>
            <w:r>
              <w:rPr>
                <w:rFonts w:hint="eastAsia"/>
                <w:color w:val="auto"/>
              </w:rPr>
              <w:t>3</w:t>
            </w:r>
          </w:p>
        </w:tc>
        <w:tc>
          <w:tcPr>
            <w:tcW w:w="1413" w:type="dxa"/>
            <w:vAlign w:val="center"/>
          </w:tcPr>
          <w:p>
            <w:pPr>
              <w:pStyle w:val="18"/>
              <w:rPr>
                <w:color w:val="auto"/>
              </w:rPr>
            </w:pPr>
            <w:r>
              <w:rPr>
                <w:color w:val="auto"/>
              </w:rPr>
              <w:t>矿区运输道路</w:t>
            </w:r>
          </w:p>
        </w:tc>
        <w:tc>
          <w:tcPr>
            <w:tcW w:w="6005" w:type="dxa"/>
          </w:tcPr>
          <w:p>
            <w:pPr>
              <w:pStyle w:val="18"/>
              <w:jc w:val="both"/>
              <w:rPr>
                <w:color w:val="auto"/>
              </w:rPr>
            </w:pPr>
            <w:r>
              <w:rPr>
                <w:color w:val="auto"/>
                <w:szCs w:val="24"/>
              </w:rPr>
              <w:t>道路全部为自然土状态，未进行道路硬化处理</w:t>
            </w:r>
            <w:r>
              <w:rPr>
                <w:rFonts w:hint="eastAsia"/>
                <w:color w:val="auto"/>
                <w:szCs w:val="24"/>
              </w:rPr>
              <w:t>；</w:t>
            </w:r>
            <w:r>
              <w:rPr>
                <w:color w:val="auto"/>
                <w:szCs w:val="24"/>
              </w:rPr>
              <w:t>道路两侧无植物措施，且道路两侧无护坡，未进行任何处理</w:t>
            </w:r>
          </w:p>
        </w:tc>
        <w:tc>
          <w:tcPr>
            <w:tcW w:w="6218" w:type="dxa"/>
          </w:tcPr>
          <w:p>
            <w:pPr>
              <w:pStyle w:val="18"/>
              <w:jc w:val="both"/>
              <w:rPr>
                <w:color w:val="auto"/>
              </w:rPr>
            </w:pPr>
            <w:r>
              <w:rPr>
                <w:color w:val="auto"/>
              </w:rPr>
              <w:t>对矿区内主要道路进行硬化</w:t>
            </w:r>
            <w:r>
              <w:rPr>
                <w:rFonts w:hint="eastAsia"/>
                <w:color w:val="auto"/>
              </w:rPr>
              <w:t>，</w:t>
            </w:r>
            <w:r>
              <w:rPr>
                <w:color w:val="auto"/>
              </w:rPr>
              <w:t>道路两侧绿化进行完善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538" w:type="dxa"/>
            <w:vAlign w:val="center"/>
          </w:tcPr>
          <w:p>
            <w:pPr>
              <w:pStyle w:val="18"/>
              <w:rPr>
                <w:color w:val="auto"/>
              </w:rPr>
            </w:pPr>
            <w:r>
              <w:rPr>
                <w:color w:val="auto"/>
              </w:rPr>
              <w:t>4</w:t>
            </w:r>
          </w:p>
        </w:tc>
        <w:tc>
          <w:tcPr>
            <w:tcW w:w="1413" w:type="dxa"/>
            <w:vAlign w:val="center"/>
          </w:tcPr>
          <w:p>
            <w:pPr>
              <w:pStyle w:val="18"/>
              <w:rPr>
                <w:color w:val="auto"/>
              </w:rPr>
            </w:pPr>
            <w:r>
              <w:rPr>
                <w:color w:val="auto"/>
              </w:rPr>
              <w:t>工业场地</w:t>
            </w:r>
          </w:p>
        </w:tc>
        <w:tc>
          <w:tcPr>
            <w:tcW w:w="6005" w:type="dxa"/>
          </w:tcPr>
          <w:p>
            <w:pPr>
              <w:pStyle w:val="18"/>
              <w:jc w:val="both"/>
              <w:rPr>
                <w:color w:val="auto"/>
              </w:rPr>
            </w:pPr>
            <w:r>
              <w:rPr>
                <w:color w:val="auto"/>
              </w:rPr>
              <w:t>工占地面</w:t>
            </w:r>
            <w:r>
              <w:rPr>
                <w:color w:val="auto"/>
                <w:spacing w:val="0"/>
                <w:szCs w:val="24"/>
              </w:rPr>
              <w:t>积约</w:t>
            </w:r>
            <w:r>
              <w:rPr>
                <w:rFonts w:hint="eastAsia"/>
                <w:color w:val="auto"/>
                <w:spacing w:val="0"/>
                <w:szCs w:val="24"/>
              </w:rPr>
              <w:t>0.0</w:t>
            </w:r>
            <w:r>
              <w:rPr>
                <w:color w:val="auto"/>
                <w:spacing w:val="0"/>
                <w:szCs w:val="24"/>
              </w:rPr>
              <w:t>491</w:t>
            </w:r>
            <w:r>
              <w:rPr>
                <w:rFonts w:hint="eastAsia"/>
                <w:color w:val="auto"/>
                <w:spacing w:val="0"/>
                <w:szCs w:val="24"/>
              </w:rPr>
              <w:t>h</w:t>
            </w:r>
            <w:r>
              <w:rPr>
                <w:color w:val="auto"/>
                <w:spacing w:val="0"/>
                <w:szCs w:val="24"/>
              </w:rPr>
              <w:t>m</w:t>
            </w:r>
            <w:r>
              <w:rPr>
                <w:color w:val="auto"/>
                <w:spacing w:val="0"/>
                <w:szCs w:val="24"/>
                <w:vertAlign w:val="superscript"/>
              </w:rPr>
              <w:t>2</w:t>
            </w:r>
            <w:r>
              <w:rPr>
                <w:color w:val="auto"/>
                <w:spacing w:val="0"/>
                <w:szCs w:val="24"/>
              </w:rPr>
              <w:t>。场地内局部为封闭式</w:t>
            </w:r>
            <w:r>
              <w:rPr>
                <w:rFonts w:hint="eastAsia"/>
                <w:color w:val="auto"/>
                <w:spacing w:val="0"/>
                <w:szCs w:val="24"/>
              </w:rPr>
              <w:t>，</w:t>
            </w:r>
            <w:r>
              <w:rPr>
                <w:color w:val="auto"/>
                <w:szCs w:val="24"/>
              </w:rPr>
              <w:t>采取了一定的措施预防水土流失</w:t>
            </w:r>
            <w:r>
              <w:rPr>
                <w:rFonts w:hint="eastAsia"/>
                <w:color w:val="auto"/>
                <w:szCs w:val="24"/>
              </w:rPr>
              <w:t>，</w:t>
            </w:r>
            <w:r>
              <w:rPr>
                <w:color w:val="auto"/>
                <w:szCs w:val="24"/>
              </w:rPr>
              <w:t>但因场地修建</w:t>
            </w:r>
            <w:r>
              <w:rPr>
                <w:rFonts w:hint="eastAsia"/>
                <w:color w:val="auto"/>
                <w:szCs w:val="24"/>
              </w:rPr>
              <w:t>，</w:t>
            </w:r>
            <w:r>
              <w:rPr>
                <w:color w:val="auto"/>
                <w:szCs w:val="24"/>
              </w:rPr>
              <w:t>挖损大部地段植被及地</w:t>
            </w:r>
            <w:r>
              <w:rPr>
                <w:rFonts w:hint="eastAsia"/>
                <w:color w:val="auto"/>
                <w:szCs w:val="24"/>
              </w:rPr>
              <w:t>形，</w:t>
            </w:r>
            <w:r>
              <w:rPr>
                <w:rFonts w:hint="eastAsia"/>
                <w:color w:val="auto"/>
                <w:spacing w:val="0"/>
                <w:szCs w:val="24"/>
              </w:rPr>
              <w:t>部分</w:t>
            </w:r>
            <w:r>
              <w:rPr>
                <w:color w:val="auto"/>
                <w:spacing w:val="0"/>
                <w:szCs w:val="24"/>
              </w:rPr>
              <w:t>设备及成品裸露</w:t>
            </w:r>
            <w:r>
              <w:rPr>
                <w:rFonts w:hint="eastAsia"/>
                <w:color w:val="auto"/>
                <w:spacing w:val="0"/>
                <w:szCs w:val="24"/>
              </w:rPr>
              <w:t>，</w:t>
            </w:r>
            <w:r>
              <w:rPr>
                <w:bCs/>
                <w:color w:val="auto"/>
              </w:rPr>
              <w:t>植被覆盖率极低，场地内明显存在边坡裸露等情况</w:t>
            </w:r>
          </w:p>
        </w:tc>
        <w:tc>
          <w:tcPr>
            <w:tcW w:w="6218" w:type="dxa"/>
          </w:tcPr>
          <w:p>
            <w:pPr>
              <w:pStyle w:val="18"/>
              <w:jc w:val="both"/>
              <w:rPr>
                <w:color w:val="auto"/>
              </w:rPr>
            </w:pPr>
            <w:r>
              <w:rPr>
                <w:color w:val="auto"/>
              </w:rPr>
              <w:t>工业场地进行场地继续规划绿化，</w:t>
            </w:r>
            <w:r>
              <w:rPr>
                <w:rFonts w:hint="eastAsia"/>
                <w:color w:val="auto"/>
              </w:rPr>
              <w:t>完善</w:t>
            </w:r>
            <w:r>
              <w:rPr>
                <w:color w:val="auto"/>
              </w:rPr>
              <w:t>场地内封闭厂房的建设</w:t>
            </w:r>
            <w:r>
              <w:rPr>
                <w:rFonts w:hint="eastAsia"/>
                <w:color w:val="auto"/>
              </w:rPr>
              <w:t>，</w:t>
            </w:r>
            <w:r>
              <w:rPr>
                <w:color w:val="auto"/>
              </w:rPr>
              <w:t>周边绿化</w:t>
            </w:r>
            <w:r>
              <w:rPr>
                <w:rFonts w:hint="eastAsia"/>
                <w:color w:val="auto"/>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538" w:type="dxa"/>
            <w:vAlign w:val="center"/>
          </w:tcPr>
          <w:p>
            <w:pPr>
              <w:pStyle w:val="18"/>
              <w:rPr>
                <w:color w:val="auto"/>
              </w:rPr>
            </w:pPr>
            <w:r>
              <w:rPr>
                <w:color w:val="auto"/>
              </w:rPr>
              <w:t>5</w:t>
            </w:r>
          </w:p>
        </w:tc>
        <w:tc>
          <w:tcPr>
            <w:tcW w:w="1413" w:type="dxa"/>
            <w:vAlign w:val="center"/>
          </w:tcPr>
          <w:p>
            <w:pPr>
              <w:pStyle w:val="18"/>
              <w:rPr>
                <w:color w:val="auto"/>
              </w:rPr>
            </w:pPr>
            <w:r>
              <w:rPr>
                <w:color w:val="auto"/>
              </w:rPr>
              <w:t>生活办公区</w:t>
            </w:r>
          </w:p>
        </w:tc>
        <w:tc>
          <w:tcPr>
            <w:tcW w:w="6005" w:type="dxa"/>
          </w:tcPr>
          <w:p>
            <w:pPr>
              <w:pStyle w:val="18"/>
              <w:jc w:val="both"/>
              <w:rPr>
                <w:color w:val="auto"/>
              </w:rPr>
            </w:pPr>
            <w:r>
              <w:rPr>
                <w:color w:val="auto"/>
                <w:spacing w:val="0"/>
                <w:szCs w:val="24"/>
              </w:rPr>
              <w:t>占地面积约</w:t>
            </w:r>
            <w:r>
              <w:rPr>
                <w:rFonts w:hint="eastAsia"/>
                <w:color w:val="auto"/>
                <w:spacing w:val="0"/>
                <w:szCs w:val="24"/>
              </w:rPr>
              <w:t>0.0</w:t>
            </w:r>
            <w:r>
              <w:rPr>
                <w:color w:val="auto"/>
                <w:spacing w:val="0"/>
                <w:szCs w:val="24"/>
              </w:rPr>
              <w:t>611</w:t>
            </w:r>
            <w:r>
              <w:rPr>
                <w:rFonts w:hint="eastAsia"/>
                <w:color w:val="auto"/>
                <w:spacing w:val="0"/>
                <w:szCs w:val="24"/>
              </w:rPr>
              <w:t>h</w:t>
            </w:r>
            <w:r>
              <w:rPr>
                <w:color w:val="auto"/>
                <w:spacing w:val="0"/>
                <w:szCs w:val="24"/>
              </w:rPr>
              <w:t>m</w:t>
            </w:r>
            <w:r>
              <w:rPr>
                <w:color w:val="auto"/>
                <w:spacing w:val="0"/>
                <w:szCs w:val="24"/>
                <w:vertAlign w:val="superscript"/>
              </w:rPr>
              <w:t>2</w:t>
            </w:r>
            <w:r>
              <w:rPr>
                <w:color w:val="auto"/>
                <w:spacing w:val="0"/>
                <w:szCs w:val="24"/>
              </w:rPr>
              <w:t>，</w:t>
            </w:r>
            <w:r>
              <w:rPr>
                <w:rFonts w:hint="eastAsia"/>
                <w:color w:val="auto"/>
                <w:szCs w:val="24"/>
              </w:rPr>
              <w:t>办公</w:t>
            </w:r>
            <w:r>
              <w:rPr>
                <w:color w:val="auto"/>
                <w:szCs w:val="24"/>
              </w:rPr>
              <w:t>区地表植被覆盖率较低，地表裸露</w:t>
            </w:r>
          </w:p>
        </w:tc>
        <w:tc>
          <w:tcPr>
            <w:tcW w:w="6218" w:type="dxa"/>
          </w:tcPr>
          <w:p>
            <w:pPr>
              <w:pStyle w:val="18"/>
              <w:jc w:val="both"/>
              <w:rPr>
                <w:color w:val="auto"/>
              </w:rPr>
            </w:pPr>
            <w:r>
              <w:rPr>
                <w:rFonts w:hint="eastAsia"/>
                <w:color w:val="auto"/>
              </w:rPr>
              <w:t>场地</w:t>
            </w:r>
            <w:r>
              <w:rPr>
                <w:color w:val="auto"/>
              </w:rPr>
              <w:t>进行清理</w:t>
            </w:r>
            <w:r>
              <w:rPr>
                <w:rFonts w:hint="eastAsia"/>
                <w:color w:val="auto"/>
              </w:rPr>
              <w:t>，</w:t>
            </w:r>
            <w:r>
              <w:rPr>
                <w:color w:val="auto"/>
              </w:rPr>
              <w:t>周边进行植树绿化</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538" w:type="dxa"/>
            <w:vAlign w:val="center"/>
          </w:tcPr>
          <w:p>
            <w:pPr>
              <w:pStyle w:val="18"/>
              <w:rPr>
                <w:color w:val="auto"/>
              </w:rPr>
            </w:pPr>
            <w:r>
              <w:rPr>
                <w:color w:val="auto"/>
              </w:rPr>
              <w:t xml:space="preserve">6 </w:t>
            </w:r>
          </w:p>
        </w:tc>
        <w:tc>
          <w:tcPr>
            <w:tcW w:w="1413" w:type="dxa"/>
            <w:vAlign w:val="center"/>
          </w:tcPr>
          <w:p>
            <w:pPr>
              <w:pStyle w:val="18"/>
              <w:rPr>
                <w:color w:val="auto"/>
              </w:rPr>
            </w:pPr>
            <w:r>
              <w:rPr>
                <w:color w:val="auto"/>
              </w:rPr>
              <w:t>矿山生态环境监测能力建设工程</w:t>
            </w:r>
          </w:p>
        </w:tc>
        <w:tc>
          <w:tcPr>
            <w:tcW w:w="6005" w:type="dxa"/>
          </w:tcPr>
          <w:p>
            <w:pPr>
              <w:pStyle w:val="18"/>
              <w:jc w:val="both"/>
              <w:rPr>
                <w:color w:val="auto"/>
              </w:rPr>
            </w:pPr>
            <w:r>
              <w:rPr>
                <w:color w:val="auto"/>
              </w:rPr>
              <w:t>矿区生态环境监控系统尚未建设，生态环境年审制度没有执行</w:t>
            </w:r>
          </w:p>
        </w:tc>
        <w:tc>
          <w:tcPr>
            <w:tcW w:w="6218" w:type="dxa"/>
          </w:tcPr>
          <w:p>
            <w:pPr>
              <w:pStyle w:val="18"/>
              <w:jc w:val="both"/>
              <w:rPr>
                <w:color w:val="auto"/>
              </w:rPr>
            </w:pPr>
            <w:r>
              <w:rPr>
                <w:color w:val="auto"/>
              </w:rPr>
              <w:t>生态环境监控能力不足，本期《方案》实施期内建设完善生态环境监控系统，执行生态环境年审制度没有执行</w:t>
            </w:r>
          </w:p>
        </w:tc>
      </w:tr>
    </w:tbl>
    <w:p>
      <w:pPr>
        <w:ind w:firstLine="480" w:firstLineChars="200"/>
        <w:rPr>
          <w:rFonts w:ascii="Times New Roman" w:hAnsi="Times New Roman"/>
        </w:rPr>
        <w:sectPr>
          <w:pgSz w:w="16838" w:h="11906" w:orient="landscape"/>
          <w:pgMar w:top="1417" w:right="1417" w:bottom="1417" w:left="1417" w:header="851" w:footer="850" w:gutter="0"/>
          <w:cols w:space="425" w:num="1"/>
          <w:docGrid w:type="lines" w:linePitch="326" w:charSpace="0"/>
        </w:sectPr>
      </w:pPr>
    </w:p>
    <w:p>
      <w:pPr>
        <w:pStyle w:val="3"/>
        <w:rPr>
          <w:rFonts w:ascii="Times New Roman" w:hAnsi="Times New Roman"/>
        </w:rPr>
      </w:pPr>
      <w:bookmarkStart w:id="206" w:name="_Toc71036663"/>
      <w:r>
        <w:rPr>
          <w:rFonts w:ascii="Times New Roman" w:hAnsi="Times New Roman"/>
        </w:rPr>
        <w:t>4  目标与指标</w:t>
      </w:r>
      <w:bookmarkEnd w:id="206"/>
    </w:p>
    <w:p>
      <w:pPr>
        <w:pStyle w:val="30"/>
      </w:pPr>
      <w:bookmarkStart w:id="207" w:name="_Toc71036664"/>
      <w:r>
        <w:t>4.1 总体目标</w:t>
      </w:r>
      <w:bookmarkEnd w:id="207"/>
    </w:p>
    <w:p>
      <w:pPr>
        <w:pStyle w:val="31"/>
        <w:rPr>
          <w:szCs w:val="28"/>
        </w:rPr>
      </w:pPr>
      <w:bookmarkStart w:id="208" w:name="_Toc71036665"/>
      <w:bookmarkStart w:id="209" w:name="_Toc17722"/>
      <w:r>
        <w:rPr>
          <w:rFonts w:hint="eastAsia"/>
          <w:szCs w:val="28"/>
        </w:rPr>
        <w:t>4</w:t>
      </w:r>
      <w:r>
        <w:rPr>
          <w:szCs w:val="28"/>
        </w:rPr>
        <w:t>.1.1矿山生态环境保护与恢复治理原则</w:t>
      </w:r>
      <w:bookmarkEnd w:id="208"/>
      <w:bookmarkEnd w:id="209"/>
    </w:p>
    <w:p>
      <w:pPr>
        <w:pStyle w:val="28"/>
        <w:numPr>
          <w:ilvl w:val="0"/>
          <w:numId w:val="2"/>
        </w:numPr>
        <w:ind w:firstLine="480" w:firstLineChars="200"/>
        <w:rPr>
          <w:rFonts w:ascii="Times New Roman" w:hAnsi="Times New Roman"/>
          <w:color w:val="auto"/>
          <w:szCs w:val="26"/>
        </w:rPr>
      </w:pPr>
      <w:r>
        <w:rPr>
          <w:rFonts w:ascii="Times New Roman" w:hAnsi="Times New Roman"/>
          <w:szCs w:val="26"/>
        </w:rPr>
        <w:t>坚持“绿水青山就是金山银山”和科学发展观理念；</w:t>
      </w:r>
    </w:p>
    <w:p>
      <w:pPr>
        <w:pStyle w:val="28"/>
        <w:numPr>
          <w:ilvl w:val="0"/>
          <w:numId w:val="2"/>
        </w:numPr>
        <w:ind w:firstLine="480" w:firstLineChars="200"/>
        <w:rPr>
          <w:rFonts w:ascii="Times New Roman" w:hAnsi="Times New Roman"/>
          <w:color w:val="auto"/>
          <w:szCs w:val="26"/>
        </w:rPr>
      </w:pPr>
      <w:r>
        <w:rPr>
          <w:rFonts w:ascii="Times New Roman" w:hAnsi="Times New Roman"/>
          <w:color w:val="auto"/>
          <w:szCs w:val="26"/>
        </w:rPr>
        <w:t>坚持“预防为主、防治结合”的基本原则；</w:t>
      </w:r>
    </w:p>
    <w:p>
      <w:pPr>
        <w:pStyle w:val="28"/>
        <w:numPr>
          <w:ilvl w:val="0"/>
          <w:numId w:val="2"/>
        </w:numPr>
        <w:ind w:firstLine="480" w:firstLineChars="200"/>
        <w:rPr>
          <w:rFonts w:ascii="Times New Roman" w:hAnsi="Times New Roman"/>
          <w:color w:val="auto"/>
          <w:szCs w:val="26"/>
        </w:rPr>
      </w:pPr>
      <w:r>
        <w:rPr>
          <w:rFonts w:ascii="Times New Roman" w:hAnsi="Times New Roman"/>
          <w:color w:val="auto"/>
          <w:szCs w:val="26"/>
        </w:rPr>
        <w:t>坚持“在保护中开发，在开发中保护”的原则。矿业开发应贯彻矿产资源开发与生态环境保护并重，恢复治理与生态环境保护并举的原则；</w:t>
      </w:r>
    </w:p>
    <w:p>
      <w:pPr>
        <w:pStyle w:val="28"/>
        <w:numPr>
          <w:ilvl w:val="0"/>
          <w:numId w:val="2"/>
        </w:numPr>
        <w:ind w:firstLine="480" w:firstLineChars="200"/>
        <w:rPr>
          <w:rFonts w:ascii="Times New Roman" w:hAnsi="Times New Roman"/>
          <w:color w:val="auto"/>
          <w:szCs w:val="26"/>
        </w:rPr>
      </w:pPr>
      <w:r>
        <w:rPr>
          <w:rFonts w:ascii="Times New Roman" w:hAnsi="Times New Roman"/>
          <w:color w:val="auto"/>
          <w:szCs w:val="26"/>
        </w:rPr>
        <w:t>坚持“依靠科技进步，发展循环经济，建设绿色矿业”；</w:t>
      </w:r>
    </w:p>
    <w:p>
      <w:pPr>
        <w:pStyle w:val="28"/>
        <w:numPr>
          <w:ilvl w:val="0"/>
          <w:numId w:val="2"/>
        </w:numPr>
        <w:ind w:firstLine="480" w:firstLineChars="200"/>
        <w:rPr>
          <w:rFonts w:ascii="Times New Roman" w:hAnsi="Times New Roman"/>
          <w:color w:val="auto"/>
          <w:szCs w:val="26"/>
        </w:rPr>
      </w:pPr>
      <w:r>
        <w:rPr>
          <w:rFonts w:ascii="Times New Roman" w:hAnsi="Times New Roman"/>
          <w:color w:val="auto"/>
          <w:szCs w:val="26"/>
        </w:rPr>
        <w:t>矿产资源的开发利用应推行循环经济的“污染物减量、资源再利用和循环利用”的技术原则；</w:t>
      </w:r>
    </w:p>
    <w:p>
      <w:pPr>
        <w:pStyle w:val="28"/>
        <w:numPr>
          <w:ilvl w:val="0"/>
          <w:numId w:val="2"/>
        </w:numPr>
        <w:ind w:firstLine="480" w:firstLineChars="200"/>
        <w:rPr>
          <w:rFonts w:ascii="Times New Roman" w:hAnsi="Times New Roman"/>
          <w:color w:val="auto"/>
          <w:szCs w:val="26"/>
        </w:rPr>
      </w:pPr>
      <w:r>
        <w:rPr>
          <w:rFonts w:ascii="Times New Roman" w:hAnsi="Times New Roman"/>
          <w:color w:val="auto"/>
          <w:szCs w:val="26"/>
        </w:rPr>
        <w:t>恢复治理措施应遵循可操作性、合理性、经济性的原则。</w:t>
      </w:r>
    </w:p>
    <w:p>
      <w:pPr>
        <w:pStyle w:val="31"/>
        <w:rPr>
          <w:szCs w:val="28"/>
        </w:rPr>
      </w:pPr>
      <w:bookmarkStart w:id="210" w:name="_Toc71036666"/>
      <w:bookmarkStart w:id="211" w:name="_Toc10568"/>
      <w:r>
        <w:rPr>
          <w:rFonts w:hint="eastAsia"/>
          <w:szCs w:val="28"/>
        </w:rPr>
        <w:t>4</w:t>
      </w:r>
      <w:r>
        <w:rPr>
          <w:szCs w:val="28"/>
        </w:rPr>
        <w:t>.1.2矿山生态环境保护与恢复治理总体目标</w:t>
      </w:r>
      <w:bookmarkEnd w:id="210"/>
      <w:bookmarkEnd w:id="211"/>
    </w:p>
    <w:p>
      <w:pPr>
        <w:pStyle w:val="33"/>
        <w:tabs>
          <w:tab w:val="left" w:pos="8820"/>
        </w:tabs>
        <w:snapToGrid w:val="0"/>
        <w:spacing w:line="500" w:lineRule="exact"/>
        <w:rPr>
          <w:rFonts w:ascii="Times New Roman" w:hAnsi="Times New Roman"/>
          <w:szCs w:val="24"/>
        </w:rPr>
      </w:pPr>
      <w:r>
        <w:rPr>
          <w:rFonts w:ascii="Times New Roman" w:hAnsi="Times New Roman"/>
          <w:szCs w:val="24"/>
        </w:rPr>
        <w:t>通过方案的实施，树立科学发展观，彻底废除“先破坏、后恢复，先污染，后治理”的旧观念，实施“预防为主、防治结合、全程控制，综合治理”环保新战略，为构建矿山开采生态恢复治理补偿长效机制，加强节能、降耗、减排，提高环境质量，改善矿区生态环境，保护人民身体健康，实现可持续发展。</w:t>
      </w:r>
    </w:p>
    <w:p>
      <w:pPr>
        <w:pStyle w:val="33"/>
        <w:tabs>
          <w:tab w:val="left" w:pos="8820"/>
        </w:tabs>
        <w:snapToGrid w:val="0"/>
        <w:spacing w:line="500" w:lineRule="exact"/>
        <w:rPr>
          <w:rFonts w:ascii="Times New Roman" w:hAnsi="Times New Roman"/>
          <w:szCs w:val="24"/>
        </w:rPr>
      </w:pPr>
      <w:r>
        <w:rPr>
          <w:rFonts w:ascii="Times New Roman" w:hAnsi="Times New Roman"/>
          <w:szCs w:val="24"/>
        </w:rPr>
        <w:t>通过恢复治理工程的逐步实施，到202</w:t>
      </w:r>
      <w:r>
        <w:rPr>
          <w:rFonts w:hint="eastAsia" w:ascii="Times New Roman" w:hAnsi="Times New Roman"/>
          <w:szCs w:val="24"/>
        </w:rPr>
        <w:t>2</w:t>
      </w:r>
      <w:r>
        <w:rPr>
          <w:rFonts w:ascii="Times New Roman" w:hAnsi="Times New Roman"/>
          <w:szCs w:val="24"/>
        </w:rPr>
        <w:t>年底，矿区生态环境破坏趋势得到有效控制，环境质量有明显改善，逐步建设成为环境优美、人居和谐的综合整治示范矿区。总体目标如下：</w:t>
      </w:r>
    </w:p>
    <w:p>
      <w:pPr>
        <w:pStyle w:val="33"/>
        <w:tabs>
          <w:tab w:val="left" w:pos="8820"/>
        </w:tabs>
        <w:snapToGrid w:val="0"/>
        <w:spacing w:line="500" w:lineRule="exact"/>
        <w:rPr>
          <w:rFonts w:ascii="Times New Roman" w:hAnsi="Times New Roman"/>
          <w:szCs w:val="24"/>
        </w:rPr>
      </w:pPr>
      <w:r>
        <w:rPr>
          <w:rFonts w:ascii="Times New Roman" w:hAnsi="Times New Roman"/>
          <w:szCs w:val="24"/>
        </w:rPr>
        <w:t>1、解决因开采引起的其它各类社会和生态环境问题。通过逐步整治，转变</w:t>
      </w:r>
      <w:r>
        <w:rPr>
          <w:rFonts w:hint="eastAsia" w:ascii="Times New Roman" w:hAnsi="Times New Roman"/>
          <w:szCs w:val="24"/>
        </w:rPr>
        <w:t>矿山</w:t>
      </w:r>
      <w:r>
        <w:rPr>
          <w:rFonts w:ascii="Times New Roman" w:hAnsi="Times New Roman"/>
          <w:szCs w:val="24"/>
        </w:rPr>
        <w:t>开采造成的生态环境恶化的趋势，使其主要生态环境问题得到解决，矿区环境质量有明显改善，实现经济与环境的双赢。</w:t>
      </w:r>
    </w:p>
    <w:p>
      <w:pPr>
        <w:pStyle w:val="33"/>
        <w:tabs>
          <w:tab w:val="left" w:pos="8820"/>
        </w:tabs>
        <w:snapToGrid w:val="0"/>
        <w:spacing w:line="500" w:lineRule="exact"/>
        <w:rPr>
          <w:rFonts w:ascii="Times New Roman" w:hAnsi="Times New Roman"/>
          <w:szCs w:val="24"/>
        </w:rPr>
      </w:pPr>
      <w:r>
        <w:rPr>
          <w:rFonts w:ascii="Times New Roman" w:hAnsi="Times New Roman"/>
          <w:szCs w:val="24"/>
        </w:rPr>
        <w:t>2、对采矿活动及其影响范围内各类岩体边坡进行加固防护，避免崩塌、滑坡。</w:t>
      </w:r>
    </w:p>
    <w:p>
      <w:pPr>
        <w:pStyle w:val="33"/>
        <w:tabs>
          <w:tab w:val="left" w:pos="8820"/>
        </w:tabs>
        <w:snapToGrid w:val="0"/>
        <w:spacing w:line="500" w:lineRule="exact"/>
        <w:rPr>
          <w:rFonts w:ascii="Times New Roman" w:hAnsi="Times New Roman"/>
          <w:szCs w:val="24"/>
        </w:rPr>
      </w:pPr>
      <w:r>
        <w:rPr>
          <w:rFonts w:ascii="Times New Roman" w:hAnsi="Times New Roman"/>
          <w:szCs w:val="24"/>
        </w:rPr>
        <w:t>3、废弃石土按要求运往废石场；加强废石场运行管理，严格按照环保要求对废弃石土分离堆置，并定期平整、压实，为闭矿期覆土种植最好准备，做好采场生态环境整治工作。</w:t>
      </w:r>
    </w:p>
    <w:p>
      <w:pPr>
        <w:pStyle w:val="33"/>
        <w:tabs>
          <w:tab w:val="left" w:pos="8820"/>
        </w:tabs>
        <w:snapToGrid w:val="0"/>
        <w:spacing w:line="500" w:lineRule="exact"/>
        <w:rPr>
          <w:rFonts w:ascii="Times New Roman" w:hAnsi="Times New Roman"/>
          <w:szCs w:val="24"/>
        </w:rPr>
      </w:pPr>
      <w:r>
        <w:rPr>
          <w:rFonts w:ascii="Times New Roman" w:hAnsi="Times New Roman"/>
          <w:szCs w:val="24"/>
        </w:rPr>
        <w:t>4、矿区道路内侧修建排水沟，急弯处设置警示牌，两侧种植树木，完善绿化，定期对道路洒水抑尘，减少运输扬尘对生态环境产生的不良影响。</w:t>
      </w:r>
    </w:p>
    <w:p>
      <w:pPr>
        <w:pStyle w:val="33"/>
        <w:tabs>
          <w:tab w:val="left" w:pos="8820"/>
        </w:tabs>
        <w:snapToGrid w:val="0"/>
        <w:spacing w:line="500" w:lineRule="exact"/>
        <w:rPr>
          <w:rFonts w:ascii="Times New Roman" w:hAnsi="Times New Roman"/>
          <w:szCs w:val="24"/>
        </w:rPr>
      </w:pPr>
      <w:r>
        <w:rPr>
          <w:rFonts w:ascii="Times New Roman" w:hAnsi="Times New Roman"/>
          <w:szCs w:val="24"/>
        </w:rPr>
        <w:t>5、完成工业场地、生活办公区域绿植规划，完善、加强周边危险边坡的安全防护措施，优化厂区环境，争取将其建设成一个环境优美、生产生活与自然环境相和谐的生态示范矿区。</w:t>
      </w:r>
    </w:p>
    <w:p>
      <w:pPr>
        <w:pStyle w:val="33"/>
        <w:tabs>
          <w:tab w:val="left" w:pos="8820"/>
        </w:tabs>
        <w:snapToGrid w:val="0"/>
        <w:spacing w:line="500" w:lineRule="exact"/>
        <w:rPr>
          <w:rFonts w:ascii="Times New Roman" w:hAnsi="Times New Roman"/>
          <w:szCs w:val="24"/>
        </w:rPr>
      </w:pPr>
      <w:r>
        <w:rPr>
          <w:rFonts w:ascii="Times New Roman" w:hAnsi="Times New Roman"/>
          <w:szCs w:val="24"/>
        </w:rPr>
        <w:t>6、构建生态环境监控机制，提高矿山生态监督建设能力。</w:t>
      </w:r>
    </w:p>
    <w:p>
      <w:pPr>
        <w:pStyle w:val="30"/>
      </w:pPr>
      <w:bookmarkStart w:id="212" w:name="_Toc71036667"/>
      <w:r>
        <w:t>4.2 规划期具体目标</w:t>
      </w:r>
      <w:bookmarkEnd w:id="212"/>
    </w:p>
    <w:p>
      <w:pPr>
        <w:pStyle w:val="33"/>
        <w:tabs>
          <w:tab w:val="left" w:pos="8820"/>
        </w:tabs>
        <w:snapToGrid w:val="0"/>
        <w:spacing w:line="500" w:lineRule="exact"/>
        <w:rPr>
          <w:rFonts w:ascii="Times New Roman" w:hAnsi="Times New Roman"/>
          <w:szCs w:val="24"/>
        </w:rPr>
      </w:pPr>
      <w:r>
        <w:rPr>
          <w:rFonts w:ascii="Times New Roman" w:hAnsi="Times New Roman"/>
          <w:szCs w:val="24"/>
        </w:rPr>
        <w:t>本方案实施时限为</w:t>
      </w:r>
      <w:r>
        <w:rPr>
          <w:rFonts w:hint="eastAsia" w:ascii="Times New Roman" w:hAnsi="Times New Roman"/>
          <w:szCs w:val="24"/>
        </w:rPr>
        <w:t>2.7</w:t>
      </w:r>
      <w:r>
        <w:rPr>
          <w:rFonts w:ascii="Times New Roman" w:hAnsi="Times New Roman"/>
          <w:szCs w:val="24"/>
        </w:rPr>
        <w:t>年，以20</w:t>
      </w:r>
      <w:r>
        <w:rPr>
          <w:rFonts w:hint="eastAsia" w:ascii="Times New Roman" w:hAnsi="Times New Roman"/>
          <w:szCs w:val="24"/>
        </w:rPr>
        <w:t>20</w:t>
      </w:r>
      <w:r>
        <w:rPr>
          <w:rFonts w:ascii="Times New Roman" w:hAnsi="Times New Roman"/>
          <w:szCs w:val="24"/>
        </w:rPr>
        <w:t>年为基准年，方案实施期限为</w:t>
      </w:r>
      <w:r>
        <w:rPr>
          <w:szCs w:val="24"/>
        </w:rPr>
        <w:t>本方案批复之日起至后三年</w:t>
      </w:r>
      <w:r>
        <w:rPr>
          <w:rFonts w:ascii="Times New Roman" w:hAnsi="Times New Roman"/>
          <w:szCs w:val="24"/>
        </w:rPr>
        <w:t>。</w:t>
      </w:r>
    </w:p>
    <w:p>
      <w:pPr>
        <w:pStyle w:val="33"/>
        <w:tabs>
          <w:tab w:val="left" w:pos="8820"/>
        </w:tabs>
        <w:snapToGrid w:val="0"/>
        <w:spacing w:line="500" w:lineRule="exact"/>
        <w:rPr>
          <w:rFonts w:ascii="Times New Roman" w:hAnsi="Times New Roman"/>
          <w:color w:val="FF0000"/>
          <w:szCs w:val="24"/>
        </w:rPr>
      </w:pPr>
      <w:r>
        <w:rPr>
          <w:rFonts w:ascii="Times New Roman" w:hAnsi="Times New Roman"/>
          <w:szCs w:val="28"/>
        </w:rPr>
        <w:t>结合</w:t>
      </w:r>
      <w:r>
        <w:rPr>
          <w:rFonts w:hint="eastAsia" w:ascii="Times New Roman" w:hAnsi="Times New Roman"/>
        </w:rPr>
        <w:t>矿区</w:t>
      </w:r>
      <w:r>
        <w:rPr>
          <w:rFonts w:ascii="Times New Roman" w:hAnsi="Times New Roman"/>
          <w:szCs w:val="28"/>
        </w:rPr>
        <w:t>生态环境的现状调查情况及</w:t>
      </w:r>
      <w:r>
        <w:rPr>
          <w:rFonts w:ascii="Times New Roman" w:hAnsi="Times New Roman"/>
        </w:rPr>
        <w:t>矿山生态环境问题的轻重缓急</w:t>
      </w:r>
      <w:r>
        <w:rPr>
          <w:rFonts w:ascii="Times New Roman" w:hAnsi="Times New Roman"/>
          <w:szCs w:val="28"/>
        </w:rPr>
        <w:t>，确定</w:t>
      </w:r>
      <w:r>
        <w:rPr>
          <w:rFonts w:hint="eastAsia" w:ascii="Times New Roman" w:hAnsi="Times New Roman"/>
        </w:rPr>
        <w:t>矿山</w:t>
      </w:r>
      <w:r>
        <w:rPr>
          <w:rFonts w:ascii="Times New Roman" w:hAnsi="Times New Roman"/>
          <w:szCs w:val="28"/>
        </w:rPr>
        <w:t>具体方案规划目标及指标见表4-1</w:t>
      </w:r>
      <w:r>
        <w:rPr>
          <w:rFonts w:ascii="Times New Roman" w:hAnsi="Times New Roman"/>
          <w:szCs w:val="24"/>
        </w:rPr>
        <w:t>。</w:t>
      </w:r>
    </w:p>
    <w:p>
      <w:pPr>
        <w:pStyle w:val="33"/>
        <w:tabs>
          <w:tab w:val="left" w:pos="8820"/>
        </w:tabs>
        <w:snapToGrid w:val="0"/>
        <w:spacing w:line="500" w:lineRule="exact"/>
        <w:rPr>
          <w:rFonts w:ascii="Times New Roman" w:hAnsi="Times New Roman"/>
          <w:color w:val="FF0000"/>
          <w:szCs w:val="24"/>
        </w:rPr>
      </w:pPr>
    </w:p>
    <w:p>
      <w:pPr>
        <w:pStyle w:val="33"/>
        <w:tabs>
          <w:tab w:val="left" w:pos="8820"/>
        </w:tabs>
        <w:snapToGrid w:val="0"/>
        <w:spacing w:line="500" w:lineRule="exact"/>
        <w:rPr>
          <w:rFonts w:ascii="Times New Roman" w:hAnsi="Times New Roman"/>
          <w:color w:val="FF0000"/>
          <w:szCs w:val="24"/>
        </w:rPr>
      </w:pPr>
    </w:p>
    <w:p>
      <w:pPr>
        <w:pStyle w:val="33"/>
        <w:tabs>
          <w:tab w:val="left" w:pos="8820"/>
        </w:tabs>
        <w:snapToGrid w:val="0"/>
        <w:spacing w:line="500" w:lineRule="exact"/>
        <w:rPr>
          <w:rFonts w:ascii="Times New Roman" w:hAnsi="Times New Roman"/>
          <w:color w:val="FF0000"/>
          <w:szCs w:val="24"/>
        </w:rPr>
      </w:pPr>
    </w:p>
    <w:p>
      <w:pPr>
        <w:pStyle w:val="33"/>
        <w:tabs>
          <w:tab w:val="left" w:pos="8820"/>
        </w:tabs>
        <w:snapToGrid w:val="0"/>
        <w:spacing w:line="500" w:lineRule="exact"/>
        <w:rPr>
          <w:rFonts w:ascii="Times New Roman" w:hAnsi="Times New Roman"/>
          <w:color w:val="FF0000"/>
          <w:szCs w:val="24"/>
        </w:rPr>
      </w:pPr>
    </w:p>
    <w:p>
      <w:pPr>
        <w:pStyle w:val="33"/>
        <w:tabs>
          <w:tab w:val="left" w:pos="8820"/>
        </w:tabs>
        <w:snapToGrid w:val="0"/>
        <w:spacing w:line="500" w:lineRule="exact"/>
        <w:rPr>
          <w:rFonts w:ascii="Times New Roman" w:hAnsi="Times New Roman"/>
          <w:color w:val="FF0000"/>
          <w:szCs w:val="24"/>
        </w:rPr>
      </w:pPr>
    </w:p>
    <w:p>
      <w:pPr>
        <w:pStyle w:val="33"/>
        <w:tabs>
          <w:tab w:val="left" w:pos="8820"/>
        </w:tabs>
        <w:snapToGrid w:val="0"/>
        <w:spacing w:line="500" w:lineRule="exact"/>
        <w:rPr>
          <w:rFonts w:ascii="Times New Roman" w:hAnsi="Times New Roman"/>
          <w:color w:val="FF0000"/>
          <w:szCs w:val="24"/>
        </w:rPr>
      </w:pPr>
    </w:p>
    <w:p>
      <w:pPr>
        <w:pStyle w:val="33"/>
        <w:tabs>
          <w:tab w:val="left" w:pos="8820"/>
        </w:tabs>
        <w:snapToGrid w:val="0"/>
        <w:spacing w:line="500" w:lineRule="exact"/>
        <w:rPr>
          <w:rFonts w:ascii="Times New Roman" w:hAnsi="Times New Roman"/>
          <w:color w:val="FF0000"/>
          <w:szCs w:val="24"/>
        </w:rPr>
      </w:pPr>
    </w:p>
    <w:p>
      <w:pPr>
        <w:pStyle w:val="33"/>
        <w:tabs>
          <w:tab w:val="left" w:pos="8820"/>
        </w:tabs>
        <w:snapToGrid w:val="0"/>
        <w:spacing w:line="500" w:lineRule="exact"/>
        <w:rPr>
          <w:rFonts w:ascii="Times New Roman" w:hAnsi="Times New Roman"/>
          <w:color w:val="FF0000"/>
          <w:szCs w:val="24"/>
        </w:rPr>
      </w:pPr>
    </w:p>
    <w:p>
      <w:pPr>
        <w:pStyle w:val="33"/>
        <w:tabs>
          <w:tab w:val="left" w:pos="8820"/>
        </w:tabs>
        <w:snapToGrid w:val="0"/>
        <w:spacing w:line="500" w:lineRule="exact"/>
        <w:rPr>
          <w:rFonts w:ascii="Times New Roman" w:hAnsi="Times New Roman"/>
          <w:color w:val="FF0000"/>
          <w:szCs w:val="24"/>
        </w:rPr>
      </w:pPr>
    </w:p>
    <w:p>
      <w:pPr>
        <w:pStyle w:val="33"/>
        <w:tabs>
          <w:tab w:val="left" w:pos="8820"/>
        </w:tabs>
        <w:snapToGrid w:val="0"/>
        <w:spacing w:line="500" w:lineRule="exact"/>
        <w:rPr>
          <w:rFonts w:ascii="Times New Roman" w:hAnsi="Times New Roman"/>
          <w:color w:val="FF0000"/>
          <w:szCs w:val="24"/>
        </w:rPr>
      </w:pPr>
    </w:p>
    <w:p>
      <w:pPr>
        <w:pStyle w:val="33"/>
        <w:tabs>
          <w:tab w:val="left" w:pos="8820"/>
        </w:tabs>
        <w:snapToGrid w:val="0"/>
        <w:spacing w:line="500" w:lineRule="exact"/>
        <w:jc w:val="center"/>
        <w:rPr>
          <w:rFonts w:ascii="Times New Roman" w:hAnsi="Times New Roman"/>
          <w:color w:val="FF0000"/>
          <w:szCs w:val="24"/>
        </w:rPr>
      </w:pPr>
    </w:p>
    <w:p>
      <w:pPr>
        <w:pStyle w:val="33"/>
        <w:tabs>
          <w:tab w:val="left" w:pos="8820"/>
        </w:tabs>
        <w:spacing w:line="500" w:lineRule="exact"/>
        <w:ind w:firstLine="482"/>
        <w:jc w:val="center"/>
        <w:rPr>
          <w:rFonts w:ascii="Times New Roman" w:hAnsi="Times New Roman"/>
          <w:b/>
          <w:bCs/>
          <w:szCs w:val="24"/>
        </w:rPr>
      </w:pPr>
    </w:p>
    <w:tbl>
      <w:tblPr>
        <w:tblStyle w:val="21"/>
        <w:tblpPr w:leftFromText="180" w:rightFromText="180" w:vertAnchor="page" w:horzAnchor="page" w:tblpX="1536" w:tblpY="2283"/>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8"/>
        <w:gridCol w:w="1054"/>
        <w:gridCol w:w="972"/>
        <w:gridCol w:w="1821"/>
        <w:gridCol w:w="730"/>
        <w:gridCol w:w="1383"/>
        <w:gridCol w:w="766"/>
        <w:gridCol w:w="1343"/>
        <w:gridCol w:w="7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 w:type="pct"/>
            <w:vAlign w:val="center"/>
          </w:tcPr>
          <w:p>
            <w:pPr>
              <w:pStyle w:val="18"/>
              <w:rPr>
                <w:color w:val="auto"/>
              </w:rPr>
            </w:pPr>
            <w:r>
              <w:rPr>
                <w:color w:val="auto"/>
              </w:rPr>
              <w:t>序号</w:t>
            </w:r>
          </w:p>
        </w:tc>
        <w:tc>
          <w:tcPr>
            <w:tcW w:w="567" w:type="pct"/>
            <w:vAlign w:val="center"/>
          </w:tcPr>
          <w:p>
            <w:pPr>
              <w:pStyle w:val="18"/>
              <w:rPr>
                <w:color w:val="auto"/>
              </w:rPr>
            </w:pPr>
            <w:r>
              <w:rPr>
                <w:color w:val="auto"/>
              </w:rPr>
              <w:t>项目名称</w:t>
            </w:r>
          </w:p>
        </w:tc>
        <w:tc>
          <w:tcPr>
            <w:tcW w:w="523" w:type="pct"/>
            <w:vAlign w:val="center"/>
          </w:tcPr>
          <w:p>
            <w:pPr>
              <w:pStyle w:val="18"/>
              <w:rPr>
                <w:color w:val="auto"/>
              </w:rPr>
            </w:pPr>
            <w:r>
              <w:rPr>
                <w:color w:val="auto"/>
              </w:rPr>
              <w:t>指标</w:t>
            </w:r>
          </w:p>
        </w:tc>
        <w:tc>
          <w:tcPr>
            <w:tcW w:w="1373" w:type="pct"/>
            <w:gridSpan w:val="2"/>
            <w:vAlign w:val="center"/>
          </w:tcPr>
          <w:p>
            <w:pPr>
              <w:pStyle w:val="18"/>
              <w:rPr>
                <w:color w:val="auto"/>
              </w:rPr>
            </w:pPr>
            <w:r>
              <w:rPr>
                <w:rFonts w:hint="eastAsia"/>
                <w:color w:val="auto"/>
              </w:rPr>
              <w:t>2021</w:t>
            </w:r>
          </w:p>
        </w:tc>
        <w:tc>
          <w:tcPr>
            <w:tcW w:w="1156" w:type="pct"/>
            <w:gridSpan w:val="2"/>
            <w:vAlign w:val="center"/>
          </w:tcPr>
          <w:p>
            <w:pPr>
              <w:pStyle w:val="18"/>
              <w:rPr>
                <w:color w:val="auto"/>
              </w:rPr>
            </w:pPr>
            <w:r>
              <w:rPr>
                <w:color w:val="auto"/>
              </w:rPr>
              <w:t>202</w:t>
            </w:r>
            <w:r>
              <w:rPr>
                <w:rFonts w:hint="eastAsia"/>
                <w:color w:val="auto"/>
              </w:rPr>
              <w:t>2</w:t>
            </w:r>
          </w:p>
        </w:tc>
        <w:tc>
          <w:tcPr>
            <w:tcW w:w="1144" w:type="pct"/>
            <w:gridSpan w:val="2"/>
            <w:vAlign w:val="center"/>
          </w:tcPr>
          <w:p>
            <w:pPr>
              <w:pStyle w:val="18"/>
              <w:rPr>
                <w:color w:val="auto"/>
              </w:rPr>
            </w:pPr>
            <w:r>
              <w:rPr>
                <w:color w:val="auto"/>
              </w:rPr>
              <w:t>202</w:t>
            </w:r>
            <w:r>
              <w:rPr>
                <w:rFonts w:hint="eastAsia"/>
                <w:color w:val="auto"/>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3" w:hRule="atLeast"/>
        </w:trPr>
        <w:tc>
          <w:tcPr>
            <w:tcW w:w="236" w:type="pct"/>
            <w:vAlign w:val="center"/>
          </w:tcPr>
          <w:p>
            <w:pPr>
              <w:pStyle w:val="18"/>
              <w:rPr>
                <w:color w:val="auto"/>
              </w:rPr>
            </w:pPr>
            <w:r>
              <w:rPr>
                <w:color w:val="auto"/>
              </w:rPr>
              <w:t>一</w:t>
            </w:r>
          </w:p>
        </w:tc>
        <w:tc>
          <w:tcPr>
            <w:tcW w:w="567" w:type="pct"/>
            <w:vAlign w:val="center"/>
          </w:tcPr>
          <w:p>
            <w:pPr>
              <w:pStyle w:val="18"/>
              <w:rPr>
                <w:color w:val="auto"/>
              </w:rPr>
            </w:pPr>
            <w:r>
              <w:rPr>
                <w:rFonts w:hint="eastAsia"/>
                <w:color w:val="auto"/>
              </w:rPr>
              <w:t>露天</w:t>
            </w:r>
            <w:r>
              <w:rPr>
                <w:color w:val="auto"/>
              </w:rPr>
              <w:t>采场治理</w:t>
            </w:r>
          </w:p>
        </w:tc>
        <w:tc>
          <w:tcPr>
            <w:tcW w:w="523" w:type="pct"/>
            <w:vAlign w:val="center"/>
          </w:tcPr>
          <w:p>
            <w:pPr>
              <w:pStyle w:val="18"/>
              <w:rPr>
                <w:color w:val="auto"/>
              </w:rPr>
            </w:pPr>
            <w:r>
              <w:rPr>
                <w:rFonts w:hint="eastAsia"/>
                <w:color w:val="auto"/>
              </w:rPr>
              <w:t>露天</w:t>
            </w:r>
            <w:r>
              <w:rPr>
                <w:color w:val="auto"/>
              </w:rPr>
              <w:t>采场生态恢复整治率</w:t>
            </w:r>
          </w:p>
        </w:tc>
        <w:tc>
          <w:tcPr>
            <w:tcW w:w="980" w:type="pct"/>
            <w:vAlign w:val="center"/>
          </w:tcPr>
          <w:p>
            <w:pPr>
              <w:pStyle w:val="18"/>
              <w:rPr>
                <w:color w:val="auto"/>
              </w:rPr>
            </w:pPr>
            <w:r>
              <w:rPr>
                <w:color w:val="auto"/>
              </w:rPr>
              <w:t>年度新增取土后裸露区进行植被恢复，在新增取土区域做好表土单独剥离、堆放、回填措施，并在雨季取土前做好取土区域土质截排水沟的开挖</w:t>
            </w:r>
          </w:p>
        </w:tc>
        <w:tc>
          <w:tcPr>
            <w:tcW w:w="393" w:type="pct"/>
            <w:vAlign w:val="center"/>
          </w:tcPr>
          <w:p>
            <w:pPr>
              <w:pStyle w:val="18"/>
              <w:rPr>
                <w:color w:val="auto"/>
              </w:rPr>
            </w:pPr>
            <w:bookmarkStart w:id="213" w:name="OLE_LINK2"/>
            <w:r>
              <w:rPr>
                <w:color w:val="auto"/>
              </w:rPr>
              <w:t>30%</w:t>
            </w:r>
          </w:p>
        </w:tc>
        <w:tc>
          <w:tcPr>
            <w:tcW w:w="744" w:type="pct"/>
            <w:vAlign w:val="center"/>
          </w:tcPr>
          <w:p>
            <w:pPr>
              <w:pStyle w:val="18"/>
              <w:rPr>
                <w:color w:val="auto"/>
              </w:rPr>
            </w:pPr>
            <w:r>
              <w:rPr>
                <w:color w:val="auto"/>
              </w:rPr>
              <w:t>年度新增取土后裸露区进行植被恢复，土质排水沟整治，绿植养护</w:t>
            </w:r>
            <w:bookmarkEnd w:id="213"/>
          </w:p>
        </w:tc>
        <w:tc>
          <w:tcPr>
            <w:tcW w:w="412" w:type="pct"/>
            <w:vAlign w:val="center"/>
          </w:tcPr>
          <w:p>
            <w:pPr>
              <w:pStyle w:val="18"/>
              <w:rPr>
                <w:color w:val="auto"/>
              </w:rPr>
            </w:pPr>
            <w:r>
              <w:rPr>
                <w:rFonts w:hint="eastAsia"/>
                <w:color w:val="auto"/>
              </w:rPr>
              <w:t>60</w:t>
            </w:r>
            <w:r>
              <w:rPr>
                <w:color w:val="auto"/>
              </w:rPr>
              <w:t>%</w:t>
            </w:r>
          </w:p>
        </w:tc>
        <w:tc>
          <w:tcPr>
            <w:tcW w:w="723" w:type="pct"/>
            <w:vAlign w:val="center"/>
          </w:tcPr>
          <w:p>
            <w:pPr>
              <w:pStyle w:val="18"/>
              <w:rPr>
                <w:color w:val="auto"/>
              </w:rPr>
            </w:pPr>
            <w:r>
              <w:rPr>
                <w:color w:val="auto"/>
              </w:rPr>
              <w:t>土质排水沟整治，绿植养护</w:t>
            </w:r>
          </w:p>
        </w:tc>
        <w:tc>
          <w:tcPr>
            <w:tcW w:w="421" w:type="pct"/>
            <w:vAlign w:val="center"/>
          </w:tcPr>
          <w:p>
            <w:pPr>
              <w:pStyle w:val="18"/>
              <w:rPr>
                <w:color w:val="auto"/>
              </w:rPr>
            </w:pPr>
            <w:r>
              <w:rPr>
                <w:rFonts w:hint="eastAsia"/>
                <w:color w:val="auto"/>
              </w:rPr>
              <w:t>100</w:t>
            </w:r>
            <w:r>
              <w:rPr>
                <w:color w:val="auto"/>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236" w:type="pct"/>
            <w:vAlign w:val="center"/>
          </w:tcPr>
          <w:p>
            <w:pPr>
              <w:pStyle w:val="18"/>
              <w:rPr>
                <w:color w:val="auto"/>
              </w:rPr>
            </w:pPr>
            <w:r>
              <w:rPr>
                <w:color w:val="auto"/>
              </w:rPr>
              <w:t>二</w:t>
            </w:r>
          </w:p>
        </w:tc>
        <w:tc>
          <w:tcPr>
            <w:tcW w:w="567" w:type="pct"/>
            <w:vAlign w:val="center"/>
          </w:tcPr>
          <w:p>
            <w:pPr>
              <w:pStyle w:val="18"/>
              <w:rPr>
                <w:color w:val="auto"/>
              </w:rPr>
            </w:pPr>
            <w:r>
              <w:rPr>
                <w:rFonts w:hint="eastAsia"/>
                <w:color w:val="auto"/>
              </w:rPr>
              <w:t>废石</w:t>
            </w:r>
            <w:r>
              <w:rPr>
                <w:color w:val="auto"/>
              </w:rPr>
              <w:t>场治理</w:t>
            </w:r>
          </w:p>
        </w:tc>
        <w:tc>
          <w:tcPr>
            <w:tcW w:w="523" w:type="pct"/>
            <w:vAlign w:val="center"/>
          </w:tcPr>
          <w:p>
            <w:pPr>
              <w:pStyle w:val="18"/>
              <w:rPr>
                <w:color w:val="auto"/>
              </w:rPr>
            </w:pPr>
            <w:r>
              <w:rPr>
                <w:rFonts w:hint="eastAsia"/>
                <w:color w:val="auto"/>
              </w:rPr>
              <w:t>废石</w:t>
            </w:r>
            <w:r>
              <w:rPr>
                <w:color w:val="auto"/>
              </w:rPr>
              <w:t>场环境整治率</w:t>
            </w:r>
          </w:p>
        </w:tc>
        <w:tc>
          <w:tcPr>
            <w:tcW w:w="980" w:type="pct"/>
            <w:vAlign w:val="center"/>
          </w:tcPr>
          <w:p>
            <w:pPr>
              <w:pStyle w:val="18"/>
              <w:rPr>
                <w:color w:val="auto"/>
              </w:rPr>
            </w:pPr>
            <w:r>
              <w:rPr>
                <w:color w:val="auto"/>
              </w:rPr>
              <w:t>规范挡土墙建设；对已堆置废石弃土进行治理，按要求土石分离堆存，并进行平整</w:t>
            </w:r>
          </w:p>
        </w:tc>
        <w:tc>
          <w:tcPr>
            <w:tcW w:w="393" w:type="pct"/>
            <w:vAlign w:val="center"/>
          </w:tcPr>
          <w:p>
            <w:pPr>
              <w:pStyle w:val="18"/>
              <w:rPr>
                <w:color w:val="auto"/>
              </w:rPr>
            </w:pPr>
            <w:r>
              <w:rPr>
                <w:color w:val="auto"/>
              </w:rPr>
              <w:t>100%</w:t>
            </w:r>
          </w:p>
        </w:tc>
        <w:tc>
          <w:tcPr>
            <w:tcW w:w="744" w:type="pct"/>
            <w:vAlign w:val="center"/>
          </w:tcPr>
          <w:p>
            <w:pPr>
              <w:pStyle w:val="18"/>
              <w:rPr>
                <w:color w:val="auto"/>
              </w:rPr>
            </w:pPr>
            <w:r>
              <w:rPr>
                <w:color w:val="auto"/>
              </w:rPr>
              <w:t>对新堆置的废弃土石进行平整</w:t>
            </w:r>
          </w:p>
        </w:tc>
        <w:tc>
          <w:tcPr>
            <w:tcW w:w="412" w:type="pct"/>
            <w:vAlign w:val="center"/>
          </w:tcPr>
          <w:p>
            <w:pPr>
              <w:pStyle w:val="18"/>
              <w:rPr>
                <w:color w:val="auto"/>
              </w:rPr>
            </w:pPr>
            <w:r>
              <w:rPr>
                <w:color w:val="auto"/>
              </w:rPr>
              <w:t>100%</w:t>
            </w:r>
          </w:p>
        </w:tc>
        <w:tc>
          <w:tcPr>
            <w:tcW w:w="723" w:type="pct"/>
            <w:vAlign w:val="center"/>
          </w:tcPr>
          <w:p>
            <w:pPr>
              <w:pStyle w:val="18"/>
              <w:rPr>
                <w:color w:val="auto"/>
              </w:rPr>
            </w:pPr>
            <w:r>
              <w:rPr>
                <w:color w:val="auto"/>
              </w:rPr>
              <w:t>对新堆置的废弃土石进行平整</w:t>
            </w:r>
          </w:p>
        </w:tc>
        <w:tc>
          <w:tcPr>
            <w:tcW w:w="421" w:type="pct"/>
            <w:vAlign w:val="center"/>
          </w:tcPr>
          <w:p>
            <w:pPr>
              <w:pStyle w:val="18"/>
              <w:rPr>
                <w:color w:val="auto"/>
              </w:rPr>
            </w:pPr>
            <w:r>
              <w:rPr>
                <w:color w:val="auto"/>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6" w:type="pct"/>
            <w:vAlign w:val="center"/>
          </w:tcPr>
          <w:p>
            <w:pPr>
              <w:pStyle w:val="18"/>
              <w:rPr>
                <w:color w:val="auto"/>
              </w:rPr>
            </w:pPr>
            <w:r>
              <w:rPr>
                <w:color w:val="auto"/>
              </w:rPr>
              <w:t>三</w:t>
            </w:r>
          </w:p>
        </w:tc>
        <w:tc>
          <w:tcPr>
            <w:tcW w:w="567" w:type="pct"/>
            <w:vAlign w:val="center"/>
          </w:tcPr>
          <w:p>
            <w:pPr>
              <w:pStyle w:val="18"/>
              <w:rPr>
                <w:color w:val="auto"/>
              </w:rPr>
            </w:pPr>
            <w:r>
              <w:rPr>
                <w:color w:val="auto"/>
              </w:rPr>
              <w:t>矿区运输道路治理</w:t>
            </w:r>
          </w:p>
        </w:tc>
        <w:tc>
          <w:tcPr>
            <w:tcW w:w="523" w:type="pct"/>
            <w:vAlign w:val="center"/>
          </w:tcPr>
          <w:p>
            <w:pPr>
              <w:pStyle w:val="18"/>
              <w:rPr>
                <w:color w:val="auto"/>
              </w:rPr>
            </w:pPr>
            <w:r>
              <w:rPr>
                <w:color w:val="auto"/>
              </w:rPr>
              <w:t>道路生态恢复治理率</w:t>
            </w:r>
          </w:p>
        </w:tc>
        <w:tc>
          <w:tcPr>
            <w:tcW w:w="980" w:type="pct"/>
            <w:vAlign w:val="center"/>
          </w:tcPr>
          <w:p>
            <w:pPr>
              <w:pStyle w:val="18"/>
              <w:rPr>
                <w:color w:val="auto"/>
              </w:rPr>
            </w:pPr>
            <w:r>
              <w:rPr>
                <w:color w:val="auto"/>
                <w:szCs w:val="21"/>
              </w:rPr>
              <w:t>对道路两侧环境进行治理；道路两侧绿化</w:t>
            </w:r>
          </w:p>
        </w:tc>
        <w:tc>
          <w:tcPr>
            <w:tcW w:w="393" w:type="pct"/>
            <w:vAlign w:val="center"/>
          </w:tcPr>
          <w:p>
            <w:pPr>
              <w:pStyle w:val="18"/>
              <w:rPr>
                <w:color w:val="auto"/>
                <w:szCs w:val="21"/>
              </w:rPr>
            </w:pPr>
            <w:r>
              <w:rPr>
                <w:color w:val="auto"/>
                <w:szCs w:val="21"/>
              </w:rPr>
              <w:t>100%</w:t>
            </w:r>
          </w:p>
        </w:tc>
        <w:tc>
          <w:tcPr>
            <w:tcW w:w="744" w:type="pct"/>
            <w:vAlign w:val="center"/>
          </w:tcPr>
          <w:p>
            <w:pPr>
              <w:pStyle w:val="18"/>
              <w:rPr>
                <w:color w:val="auto"/>
              </w:rPr>
            </w:pPr>
            <w:r>
              <w:rPr>
                <w:color w:val="auto"/>
                <w:szCs w:val="21"/>
              </w:rPr>
              <w:t>绿化区养护</w:t>
            </w:r>
          </w:p>
        </w:tc>
        <w:tc>
          <w:tcPr>
            <w:tcW w:w="412" w:type="pct"/>
            <w:vAlign w:val="center"/>
          </w:tcPr>
          <w:p>
            <w:pPr>
              <w:pStyle w:val="18"/>
              <w:rPr>
                <w:color w:val="auto"/>
                <w:szCs w:val="21"/>
              </w:rPr>
            </w:pPr>
            <w:r>
              <w:rPr>
                <w:color w:val="auto"/>
                <w:szCs w:val="21"/>
              </w:rPr>
              <w:t>100%</w:t>
            </w:r>
          </w:p>
        </w:tc>
        <w:tc>
          <w:tcPr>
            <w:tcW w:w="723" w:type="pct"/>
            <w:vAlign w:val="center"/>
          </w:tcPr>
          <w:p>
            <w:pPr>
              <w:pStyle w:val="18"/>
              <w:rPr>
                <w:color w:val="auto"/>
              </w:rPr>
            </w:pPr>
            <w:r>
              <w:rPr>
                <w:color w:val="auto"/>
                <w:szCs w:val="21"/>
              </w:rPr>
              <w:t>绿化区养护</w:t>
            </w:r>
          </w:p>
        </w:tc>
        <w:tc>
          <w:tcPr>
            <w:tcW w:w="421" w:type="pct"/>
            <w:vAlign w:val="center"/>
          </w:tcPr>
          <w:p>
            <w:pPr>
              <w:pStyle w:val="18"/>
              <w:rPr>
                <w:color w:val="auto"/>
                <w:szCs w:val="21"/>
              </w:rPr>
            </w:pPr>
            <w:r>
              <w:rPr>
                <w:color w:val="auto"/>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trPr>
        <w:tc>
          <w:tcPr>
            <w:tcW w:w="236" w:type="pct"/>
            <w:vAlign w:val="center"/>
          </w:tcPr>
          <w:p>
            <w:pPr>
              <w:pStyle w:val="18"/>
              <w:rPr>
                <w:color w:val="auto"/>
              </w:rPr>
            </w:pPr>
            <w:r>
              <w:rPr>
                <w:color w:val="auto"/>
              </w:rPr>
              <w:t>四</w:t>
            </w:r>
          </w:p>
        </w:tc>
        <w:tc>
          <w:tcPr>
            <w:tcW w:w="567" w:type="pct"/>
            <w:vAlign w:val="center"/>
          </w:tcPr>
          <w:p>
            <w:pPr>
              <w:pStyle w:val="18"/>
              <w:rPr>
                <w:color w:val="auto"/>
              </w:rPr>
            </w:pPr>
            <w:r>
              <w:rPr>
                <w:color w:val="auto"/>
              </w:rPr>
              <w:t>工业场地治理</w:t>
            </w:r>
          </w:p>
        </w:tc>
        <w:tc>
          <w:tcPr>
            <w:tcW w:w="523" w:type="pct"/>
            <w:vAlign w:val="center"/>
          </w:tcPr>
          <w:p>
            <w:pPr>
              <w:pStyle w:val="18"/>
              <w:rPr>
                <w:color w:val="auto"/>
              </w:rPr>
            </w:pPr>
            <w:r>
              <w:rPr>
                <w:color w:val="auto"/>
              </w:rPr>
              <w:t>工业场地环境整治率</w:t>
            </w:r>
          </w:p>
        </w:tc>
        <w:tc>
          <w:tcPr>
            <w:tcW w:w="980" w:type="pct"/>
            <w:vAlign w:val="center"/>
          </w:tcPr>
          <w:p>
            <w:pPr>
              <w:pStyle w:val="18"/>
              <w:rPr>
                <w:color w:val="auto"/>
              </w:rPr>
            </w:pPr>
            <w:r>
              <w:rPr>
                <w:color w:val="auto"/>
              </w:rPr>
              <w:t xml:space="preserve">规划绿化区，场地清扫平整 </w:t>
            </w:r>
          </w:p>
        </w:tc>
        <w:tc>
          <w:tcPr>
            <w:tcW w:w="393" w:type="pct"/>
            <w:vAlign w:val="center"/>
          </w:tcPr>
          <w:p>
            <w:pPr>
              <w:pStyle w:val="18"/>
              <w:rPr>
                <w:color w:val="auto"/>
              </w:rPr>
            </w:pPr>
            <w:r>
              <w:rPr>
                <w:color w:val="auto"/>
              </w:rPr>
              <w:t>100%</w:t>
            </w:r>
          </w:p>
        </w:tc>
        <w:tc>
          <w:tcPr>
            <w:tcW w:w="744" w:type="pct"/>
            <w:vAlign w:val="center"/>
          </w:tcPr>
          <w:p>
            <w:pPr>
              <w:pStyle w:val="18"/>
              <w:rPr>
                <w:color w:val="auto"/>
              </w:rPr>
            </w:pPr>
            <w:r>
              <w:rPr>
                <w:color w:val="auto"/>
              </w:rPr>
              <w:t>绿化区进行平整覆土；</w:t>
            </w:r>
            <w:r>
              <w:rPr>
                <w:color w:val="auto"/>
                <w:szCs w:val="21"/>
              </w:rPr>
              <w:t>绿化区养护</w:t>
            </w:r>
          </w:p>
        </w:tc>
        <w:tc>
          <w:tcPr>
            <w:tcW w:w="412" w:type="pct"/>
            <w:vAlign w:val="center"/>
          </w:tcPr>
          <w:p>
            <w:pPr>
              <w:pStyle w:val="18"/>
              <w:rPr>
                <w:color w:val="auto"/>
                <w:szCs w:val="21"/>
              </w:rPr>
            </w:pPr>
            <w:r>
              <w:rPr>
                <w:color w:val="auto"/>
                <w:szCs w:val="21"/>
              </w:rPr>
              <w:t>100%</w:t>
            </w:r>
          </w:p>
        </w:tc>
        <w:tc>
          <w:tcPr>
            <w:tcW w:w="723" w:type="pct"/>
            <w:vAlign w:val="center"/>
          </w:tcPr>
          <w:p>
            <w:pPr>
              <w:pStyle w:val="18"/>
              <w:rPr>
                <w:color w:val="auto"/>
              </w:rPr>
            </w:pPr>
            <w:r>
              <w:rPr>
                <w:color w:val="auto"/>
                <w:szCs w:val="21"/>
              </w:rPr>
              <w:t>绿化区养护</w:t>
            </w:r>
          </w:p>
        </w:tc>
        <w:tc>
          <w:tcPr>
            <w:tcW w:w="421" w:type="pct"/>
            <w:vAlign w:val="center"/>
          </w:tcPr>
          <w:p>
            <w:pPr>
              <w:pStyle w:val="18"/>
              <w:rPr>
                <w:color w:val="auto"/>
                <w:szCs w:val="21"/>
              </w:rPr>
            </w:pPr>
            <w:r>
              <w:rPr>
                <w:color w:val="auto"/>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236" w:type="pct"/>
            <w:vAlign w:val="center"/>
          </w:tcPr>
          <w:p>
            <w:pPr>
              <w:pStyle w:val="18"/>
              <w:rPr>
                <w:color w:val="auto"/>
              </w:rPr>
            </w:pPr>
            <w:r>
              <w:rPr>
                <w:color w:val="auto"/>
              </w:rPr>
              <w:t>五</w:t>
            </w:r>
          </w:p>
        </w:tc>
        <w:tc>
          <w:tcPr>
            <w:tcW w:w="567" w:type="pct"/>
            <w:vAlign w:val="center"/>
          </w:tcPr>
          <w:p>
            <w:pPr>
              <w:pStyle w:val="18"/>
              <w:rPr>
                <w:color w:val="auto"/>
              </w:rPr>
            </w:pPr>
            <w:r>
              <w:rPr>
                <w:color w:val="auto"/>
              </w:rPr>
              <w:t>生活办公区治理</w:t>
            </w:r>
          </w:p>
        </w:tc>
        <w:tc>
          <w:tcPr>
            <w:tcW w:w="523" w:type="pct"/>
            <w:vAlign w:val="center"/>
          </w:tcPr>
          <w:p>
            <w:pPr>
              <w:pStyle w:val="18"/>
              <w:rPr>
                <w:color w:val="auto"/>
              </w:rPr>
            </w:pPr>
            <w:r>
              <w:rPr>
                <w:color w:val="auto"/>
              </w:rPr>
              <w:t>生活办公区生态恢复治理率</w:t>
            </w:r>
          </w:p>
        </w:tc>
        <w:tc>
          <w:tcPr>
            <w:tcW w:w="980" w:type="pct"/>
            <w:vAlign w:val="center"/>
          </w:tcPr>
          <w:p>
            <w:pPr>
              <w:pStyle w:val="18"/>
              <w:rPr>
                <w:color w:val="auto"/>
              </w:rPr>
            </w:pPr>
            <w:r>
              <w:rPr>
                <w:color w:val="auto"/>
              </w:rPr>
              <w:t xml:space="preserve">规划绿化区，场地清扫平整 </w:t>
            </w:r>
          </w:p>
        </w:tc>
        <w:tc>
          <w:tcPr>
            <w:tcW w:w="393" w:type="pct"/>
            <w:vAlign w:val="center"/>
          </w:tcPr>
          <w:p>
            <w:pPr>
              <w:pStyle w:val="18"/>
              <w:rPr>
                <w:color w:val="auto"/>
              </w:rPr>
            </w:pPr>
            <w:r>
              <w:rPr>
                <w:color w:val="auto"/>
              </w:rPr>
              <w:t>80%</w:t>
            </w:r>
          </w:p>
        </w:tc>
        <w:tc>
          <w:tcPr>
            <w:tcW w:w="744" w:type="pct"/>
            <w:vAlign w:val="center"/>
          </w:tcPr>
          <w:p>
            <w:pPr>
              <w:pStyle w:val="18"/>
              <w:rPr>
                <w:color w:val="auto"/>
              </w:rPr>
            </w:pPr>
            <w:r>
              <w:rPr>
                <w:color w:val="auto"/>
              </w:rPr>
              <w:t>规划绿植区覆土，布置盆景；</w:t>
            </w:r>
            <w:r>
              <w:rPr>
                <w:color w:val="auto"/>
                <w:szCs w:val="21"/>
              </w:rPr>
              <w:t>绿化区养护</w:t>
            </w:r>
          </w:p>
        </w:tc>
        <w:tc>
          <w:tcPr>
            <w:tcW w:w="412" w:type="pct"/>
            <w:vAlign w:val="center"/>
          </w:tcPr>
          <w:p>
            <w:pPr>
              <w:pStyle w:val="18"/>
              <w:rPr>
                <w:color w:val="auto"/>
                <w:szCs w:val="21"/>
              </w:rPr>
            </w:pPr>
            <w:r>
              <w:rPr>
                <w:color w:val="auto"/>
                <w:szCs w:val="21"/>
              </w:rPr>
              <w:t>100%</w:t>
            </w:r>
          </w:p>
        </w:tc>
        <w:tc>
          <w:tcPr>
            <w:tcW w:w="723" w:type="pct"/>
            <w:vAlign w:val="center"/>
          </w:tcPr>
          <w:p>
            <w:pPr>
              <w:pStyle w:val="18"/>
              <w:rPr>
                <w:color w:val="auto"/>
              </w:rPr>
            </w:pPr>
            <w:r>
              <w:rPr>
                <w:color w:val="auto"/>
                <w:szCs w:val="21"/>
              </w:rPr>
              <w:t>绿化区养护</w:t>
            </w:r>
          </w:p>
        </w:tc>
        <w:tc>
          <w:tcPr>
            <w:tcW w:w="421" w:type="pct"/>
            <w:vAlign w:val="center"/>
          </w:tcPr>
          <w:p>
            <w:pPr>
              <w:pStyle w:val="18"/>
              <w:rPr>
                <w:color w:val="auto"/>
                <w:szCs w:val="21"/>
              </w:rPr>
            </w:pPr>
            <w:r>
              <w:rPr>
                <w:color w:val="auto"/>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 w:hRule="atLeast"/>
        </w:trPr>
        <w:tc>
          <w:tcPr>
            <w:tcW w:w="236" w:type="pct"/>
            <w:vAlign w:val="center"/>
          </w:tcPr>
          <w:p>
            <w:pPr>
              <w:pStyle w:val="18"/>
              <w:rPr>
                <w:color w:val="auto"/>
              </w:rPr>
            </w:pPr>
            <w:r>
              <w:rPr>
                <w:color w:val="auto"/>
              </w:rPr>
              <w:t>六</w:t>
            </w:r>
          </w:p>
        </w:tc>
        <w:tc>
          <w:tcPr>
            <w:tcW w:w="567" w:type="pct"/>
            <w:vAlign w:val="center"/>
          </w:tcPr>
          <w:p>
            <w:pPr>
              <w:pStyle w:val="18"/>
              <w:rPr>
                <w:color w:val="auto"/>
              </w:rPr>
            </w:pPr>
            <w:r>
              <w:rPr>
                <w:color w:val="auto"/>
              </w:rPr>
              <w:t>矿区生态环境监控工程</w:t>
            </w:r>
          </w:p>
        </w:tc>
        <w:tc>
          <w:tcPr>
            <w:tcW w:w="523" w:type="pct"/>
            <w:vAlign w:val="center"/>
          </w:tcPr>
          <w:p>
            <w:pPr>
              <w:pStyle w:val="18"/>
              <w:rPr>
                <w:color w:val="auto"/>
              </w:rPr>
            </w:pPr>
            <w:r>
              <w:rPr>
                <w:color w:val="auto"/>
              </w:rPr>
              <w:t>生态环境监控能力</w:t>
            </w:r>
          </w:p>
        </w:tc>
        <w:tc>
          <w:tcPr>
            <w:tcW w:w="980" w:type="pct"/>
            <w:vAlign w:val="center"/>
          </w:tcPr>
          <w:p>
            <w:pPr>
              <w:pStyle w:val="18"/>
              <w:rPr>
                <w:color w:val="auto"/>
              </w:rPr>
            </w:pPr>
            <w:r>
              <w:rPr>
                <w:color w:val="auto"/>
              </w:rPr>
              <w:t>完成矿区生态环境监控机构的构建和规章制度的制定</w:t>
            </w:r>
          </w:p>
        </w:tc>
        <w:tc>
          <w:tcPr>
            <w:tcW w:w="393" w:type="pct"/>
            <w:vAlign w:val="center"/>
          </w:tcPr>
          <w:p>
            <w:pPr>
              <w:spacing w:line="240" w:lineRule="auto"/>
              <w:jc w:val="center"/>
              <w:rPr>
                <w:spacing w:val="6"/>
                <w:kern w:val="0"/>
                <w:sz w:val="21"/>
                <w:szCs w:val="20"/>
              </w:rPr>
            </w:pPr>
            <w:r>
              <w:rPr>
                <w:spacing w:val="6"/>
                <w:kern w:val="0"/>
                <w:sz w:val="21"/>
                <w:szCs w:val="20"/>
              </w:rPr>
              <w:t>60%</w:t>
            </w:r>
          </w:p>
        </w:tc>
        <w:tc>
          <w:tcPr>
            <w:tcW w:w="744" w:type="pct"/>
            <w:vAlign w:val="center"/>
          </w:tcPr>
          <w:p>
            <w:pPr>
              <w:spacing w:line="240" w:lineRule="auto"/>
              <w:jc w:val="center"/>
              <w:rPr>
                <w:spacing w:val="6"/>
                <w:kern w:val="0"/>
                <w:sz w:val="21"/>
                <w:szCs w:val="20"/>
              </w:rPr>
            </w:pPr>
            <w:r>
              <w:rPr>
                <w:spacing w:val="6"/>
                <w:kern w:val="0"/>
                <w:sz w:val="21"/>
                <w:szCs w:val="20"/>
              </w:rPr>
              <w:t>委托有资质的监测单位进行矿山生态环境质量监测，出具季报</w:t>
            </w:r>
            <w:r>
              <w:rPr>
                <w:rFonts w:hint="eastAsia"/>
                <w:spacing w:val="6"/>
                <w:kern w:val="0"/>
                <w:sz w:val="21"/>
                <w:szCs w:val="20"/>
              </w:rPr>
              <w:t>、</w:t>
            </w:r>
            <w:r>
              <w:rPr>
                <w:spacing w:val="6"/>
                <w:kern w:val="0"/>
                <w:sz w:val="21"/>
                <w:szCs w:val="20"/>
              </w:rPr>
              <w:t>年报</w:t>
            </w:r>
          </w:p>
        </w:tc>
        <w:tc>
          <w:tcPr>
            <w:tcW w:w="412" w:type="pct"/>
            <w:vAlign w:val="center"/>
          </w:tcPr>
          <w:p>
            <w:pPr>
              <w:spacing w:line="240" w:lineRule="auto"/>
              <w:jc w:val="center"/>
              <w:rPr>
                <w:spacing w:val="6"/>
                <w:kern w:val="0"/>
                <w:sz w:val="21"/>
                <w:szCs w:val="20"/>
              </w:rPr>
            </w:pPr>
            <w:r>
              <w:rPr>
                <w:spacing w:val="6"/>
                <w:kern w:val="0"/>
                <w:sz w:val="21"/>
                <w:szCs w:val="20"/>
              </w:rPr>
              <w:t>80%</w:t>
            </w:r>
          </w:p>
        </w:tc>
        <w:tc>
          <w:tcPr>
            <w:tcW w:w="723" w:type="pct"/>
            <w:vAlign w:val="center"/>
          </w:tcPr>
          <w:p>
            <w:pPr>
              <w:spacing w:line="240" w:lineRule="auto"/>
              <w:jc w:val="center"/>
              <w:rPr>
                <w:spacing w:val="6"/>
                <w:kern w:val="0"/>
                <w:sz w:val="21"/>
                <w:szCs w:val="20"/>
              </w:rPr>
            </w:pPr>
            <w:r>
              <w:rPr>
                <w:spacing w:val="6"/>
                <w:kern w:val="0"/>
                <w:sz w:val="21"/>
                <w:szCs w:val="20"/>
              </w:rPr>
              <w:t>进行矿山生态环境质量监测，出具季报</w:t>
            </w:r>
            <w:r>
              <w:rPr>
                <w:rFonts w:hint="eastAsia"/>
                <w:spacing w:val="6"/>
                <w:kern w:val="0"/>
                <w:sz w:val="21"/>
                <w:szCs w:val="20"/>
              </w:rPr>
              <w:t>、</w:t>
            </w:r>
            <w:r>
              <w:rPr>
                <w:spacing w:val="6"/>
                <w:kern w:val="0"/>
                <w:sz w:val="21"/>
                <w:szCs w:val="20"/>
              </w:rPr>
              <w:t>年报</w:t>
            </w:r>
          </w:p>
        </w:tc>
        <w:tc>
          <w:tcPr>
            <w:tcW w:w="421" w:type="pct"/>
            <w:vAlign w:val="center"/>
          </w:tcPr>
          <w:p>
            <w:pPr>
              <w:spacing w:line="240" w:lineRule="auto"/>
              <w:jc w:val="center"/>
              <w:rPr>
                <w:spacing w:val="6"/>
                <w:kern w:val="0"/>
                <w:sz w:val="21"/>
                <w:szCs w:val="20"/>
              </w:rPr>
            </w:pPr>
            <w:r>
              <w:rPr>
                <w:spacing w:val="6"/>
                <w:kern w:val="0"/>
                <w:sz w:val="21"/>
                <w:szCs w:val="20"/>
              </w:rPr>
              <w:t>100%</w:t>
            </w:r>
          </w:p>
        </w:tc>
      </w:tr>
    </w:tbl>
    <w:p>
      <w:pPr>
        <w:pStyle w:val="33"/>
        <w:tabs>
          <w:tab w:val="left" w:pos="8820"/>
        </w:tabs>
        <w:spacing w:line="500" w:lineRule="exact"/>
        <w:ind w:firstLine="0" w:firstLineChars="0"/>
        <w:jc w:val="center"/>
        <w:rPr>
          <w:rFonts w:ascii="Times New Roman" w:hAnsi="Times New Roman"/>
          <w:color w:val="FF0000"/>
        </w:rPr>
      </w:pPr>
      <w:r>
        <w:rPr>
          <w:rFonts w:ascii="Times New Roman" w:hAnsi="Times New Roman"/>
          <w:b/>
          <w:bCs/>
          <w:szCs w:val="24"/>
        </w:rPr>
        <w:t>生态环境恢复治理综合整治目标及指标</w:t>
      </w:r>
      <w:r>
        <w:rPr>
          <w:rFonts w:hint="eastAsia" w:ascii="Times New Roman" w:hAnsi="Times New Roman"/>
          <w:b/>
          <w:bCs/>
          <w:szCs w:val="24"/>
        </w:rPr>
        <w:t xml:space="preserve">表    </w:t>
      </w:r>
      <w:r>
        <w:rPr>
          <w:rFonts w:ascii="Times New Roman" w:hAnsi="Times New Roman"/>
          <w:b/>
          <w:bCs/>
          <w:szCs w:val="24"/>
        </w:rPr>
        <w:t xml:space="preserve">表4-1  </w:t>
      </w:r>
    </w:p>
    <w:p>
      <w:pPr>
        <w:pStyle w:val="33"/>
        <w:tabs>
          <w:tab w:val="left" w:pos="8820"/>
        </w:tabs>
        <w:snapToGrid w:val="0"/>
        <w:spacing w:line="240" w:lineRule="auto"/>
        <w:ind w:firstLine="0" w:firstLineChars="0"/>
        <w:jc w:val="center"/>
        <w:rPr>
          <w:rFonts w:ascii="Times New Roman" w:hAnsi="Times New Roman"/>
        </w:rPr>
        <w:sectPr>
          <w:pgSz w:w="11907" w:h="16839"/>
          <w:pgMar w:top="1417" w:right="1417" w:bottom="1417" w:left="1417" w:header="851" w:footer="850" w:gutter="0"/>
          <w:cols w:space="425" w:num="1"/>
          <w:docGrid w:type="lines" w:linePitch="326" w:charSpace="0"/>
        </w:sectPr>
      </w:pPr>
    </w:p>
    <w:p>
      <w:pPr>
        <w:pStyle w:val="3"/>
        <w:rPr>
          <w:rFonts w:ascii="Times New Roman" w:hAnsi="Times New Roman"/>
        </w:rPr>
      </w:pPr>
      <w:bookmarkStart w:id="214" w:name="_Toc71036668"/>
      <w:r>
        <w:rPr>
          <w:rFonts w:ascii="Times New Roman" w:hAnsi="Times New Roman"/>
        </w:rPr>
        <w:t>5  主要任务</w:t>
      </w:r>
      <w:bookmarkEnd w:id="214"/>
    </w:p>
    <w:p>
      <w:pPr>
        <w:pStyle w:val="30"/>
      </w:pPr>
      <w:bookmarkStart w:id="215" w:name="_Toc17445"/>
      <w:bookmarkStart w:id="216" w:name="_Toc71036669"/>
      <w:bookmarkStart w:id="217" w:name="_Toc533610788"/>
      <w:bookmarkStart w:id="218" w:name="_Toc25722"/>
      <w:r>
        <w:t>5.</w:t>
      </w:r>
      <w:r>
        <w:rPr>
          <w:rFonts w:hint="eastAsia"/>
        </w:rPr>
        <w:t>1</w:t>
      </w:r>
      <w:r>
        <w:t>矿山生态环境保护与恢复治理分区</w:t>
      </w:r>
      <w:bookmarkEnd w:id="215"/>
      <w:bookmarkEnd w:id="216"/>
      <w:bookmarkEnd w:id="217"/>
      <w:bookmarkEnd w:id="218"/>
    </w:p>
    <w:p>
      <w:pPr>
        <w:pStyle w:val="28"/>
        <w:ind w:firstLine="480" w:firstLineChars="200"/>
        <w:rPr>
          <w:rFonts w:ascii="Times New Roman" w:hAnsi="Times New Roman" w:cs="Times New Roman"/>
        </w:rPr>
      </w:pPr>
      <w:r>
        <w:rPr>
          <w:rFonts w:ascii="Times New Roman" w:hAnsi="Times New Roman" w:cs="Times New Roman"/>
        </w:rPr>
        <w:t>矿山生态环境问题的产生具有自然、社会和资源三重属性，因此，矿山生态环境保护与恢复治理分区的原则是：首先，坚持“以人为本”，必须把矿山生态环境问题对调查内居民及职工生产生活影响的治理放在第一位，要尽可能地减少对居民及职工生活的影响与损失，其次，坚持“以工程建设安全为本”，力争确保工程建设、运营安全，同时也要充分考虑工程建设、运营对生态环境的综合影响，坚持“突出重点、分步实施”的原则，分清轻、重、缓、急，对目前存在及方案期内预测可能发生的生态环境问题进行分步实施治理。</w:t>
      </w:r>
    </w:p>
    <w:p>
      <w:pPr>
        <w:pStyle w:val="28"/>
        <w:ind w:firstLine="480" w:firstLineChars="200"/>
        <w:rPr>
          <w:rFonts w:ascii="Times New Roman" w:hAnsi="Times New Roman" w:cs="Times New Roman"/>
        </w:rPr>
      </w:pPr>
      <w:r>
        <w:t>参考《矿山生态环境保护与恢复治理方案编制导则（环发[2012]154号）》，并依据《矿山生态环境保护与恢复治理方案（规划）编制规范（试行）》（HJ652-2013），根据对</w:t>
      </w:r>
      <w:r>
        <w:rPr>
          <w:rFonts w:hint="eastAsia"/>
        </w:rPr>
        <w:t>五</w:t>
      </w:r>
      <w:r>
        <w:t>台县安顺源石料有限公司生态环境现状问题的调查分析结果，并结合企业综合整治指标体系与目标，确定</w:t>
      </w:r>
      <w:r>
        <w:rPr>
          <w:rFonts w:hint="eastAsia"/>
        </w:rPr>
        <w:t>五</w:t>
      </w:r>
      <w:r>
        <w:t>台县安顺源石料有限公司保护恢复治理区如下表：</w:t>
      </w:r>
    </w:p>
    <w:p>
      <w:pPr>
        <w:pStyle w:val="50"/>
        <w:snapToGrid w:val="0"/>
        <w:spacing w:line="560" w:lineRule="exact"/>
        <w:ind w:firstLine="0"/>
        <w:jc w:val="center"/>
        <w:rPr>
          <w:sz w:val="24"/>
          <w:szCs w:val="24"/>
        </w:rPr>
      </w:pPr>
      <w:r>
        <w:rPr>
          <w:sz w:val="24"/>
          <w:szCs w:val="24"/>
        </w:rPr>
        <w:t>生态环境保护与恢复治理分区表</w:t>
      </w:r>
      <w:r>
        <w:rPr>
          <w:rFonts w:hint="eastAsia"/>
          <w:sz w:val="24"/>
          <w:szCs w:val="24"/>
        </w:rPr>
        <w:t>5</w:t>
      </w:r>
      <w:r>
        <w:rPr>
          <w:sz w:val="24"/>
          <w:szCs w:val="24"/>
        </w:rPr>
        <w:t>-1</w:t>
      </w:r>
    </w:p>
    <w:tbl>
      <w:tblPr>
        <w:tblStyle w:val="21"/>
        <w:tblW w:w="499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782"/>
        <w:gridCol w:w="649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99" w:type="pct"/>
            <w:vAlign w:val="center"/>
          </w:tcPr>
          <w:p>
            <w:pPr>
              <w:pStyle w:val="50"/>
              <w:snapToGrid w:val="0"/>
              <w:spacing w:line="240" w:lineRule="auto"/>
              <w:ind w:firstLine="0"/>
              <w:jc w:val="center"/>
              <w:rPr>
                <w:sz w:val="20"/>
                <w:szCs w:val="13"/>
              </w:rPr>
            </w:pPr>
            <w:r>
              <w:rPr>
                <w:sz w:val="20"/>
                <w:szCs w:val="13"/>
              </w:rPr>
              <w:t>分类</w:t>
            </w:r>
          </w:p>
        </w:tc>
        <w:tc>
          <w:tcPr>
            <w:tcW w:w="3501" w:type="pct"/>
            <w:vAlign w:val="center"/>
          </w:tcPr>
          <w:p>
            <w:pPr>
              <w:pStyle w:val="50"/>
              <w:snapToGrid w:val="0"/>
              <w:spacing w:line="240" w:lineRule="auto"/>
              <w:ind w:firstLine="0"/>
              <w:jc w:val="center"/>
              <w:rPr>
                <w:sz w:val="20"/>
                <w:szCs w:val="13"/>
              </w:rPr>
            </w:pPr>
            <w:r>
              <w:rPr>
                <w:sz w:val="20"/>
                <w:szCs w:val="13"/>
              </w:rPr>
              <w:t>区域位置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99" w:type="pct"/>
            <w:vAlign w:val="center"/>
          </w:tcPr>
          <w:p>
            <w:pPr>
              <w:adjustRightInd w:val="0"/>
              <w:snapToGrid w:val="0"/>
              <w:jc w:val="center"/>
              <w:rPr>
                <w:sz w:val="18"/>
                <w:szCs w:val="18"/>
              </w:rPr>
            </w:pPr>
            <w:r>
              <w:rPr>
                <w:sz w:val="18"/>
                <w:szCs w:val="18"/>
              </w:rPr>
              <w:t>重点防治区</w:t>
            </w:r>
          </w:p>
        </w:tc>
        <w:tc>
          <w:tcPr>
            <w:tcW w:w="3501" w:type="pct"/>
            <w:vAlign w:val="center"/>
          </w:tcPr>
          <w:p>
            <w:pPr>
              <w:adjustRightInd w:val="0"/>
              <w:snapToGrid w:val="0"/>
              <w:rPr>
                <w:kern w:val="0"/>
                <w:sz w:val="18"/>
                <w:szCs w:val="18"/>
              </w:rPr>
            </w:pPr>
            <w:r>
              <w:rPr>
                <w:sz w:val="18"/>
                <w:szCs w:val="18"/>
              </w:rPr>
              <w:t>露天采场、以往剥采区、设计废渣场及其附属工程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99" w:type="pct"/>
            <w:vAlign w:val="center"/>
          </w:tcPr>
          <w:p>
            <w:pPr>
              <w:adjustRightInd w:val="0"/>
              <w:snapToGrid w:val="0"/>
              <w:jc w:val="center"/>
              <w:rPr>
                <w:sz w:val="18"/>
                <w:szCs w:val="18"/>
              </w:rPr>
            </w:pPr>
            <w:r>
              <w:rPr>
                <w:sz w:val="18"/>
                <w:szCs w:val="18"/>
              </w:rPr>
              <w:t>次重点防治区</w:t>
            </w:r>
          </w:p>
        </w:tc>
        <w:tc>
          <w:tcPr>
            <w:tcW w:w="3501" w:type="pct"/>
            <w:vAlign w:val="center"/>
          </w:tcPr>
          <w:p>
            <w:pPr>
              <w:adjustRightInd w:val="0"/>
              <w:snapToGrid w:val="0"/>
              <w:rPr>
                <w:sz w:val="18"/>
                <w:szCs w:val="18"/>
              </w:rPr>
            </w:pPr>
            <w:r>
              <w:rPr>
                <w:sz w:val="18"/>
                <w:szCs w:val="18"/>
              </w:rPr>
              <w:t>生产生活区</w:t>
            </w:r>
            <w:r>
              <w:rPr>
                <w:rFonts w:hint="eastAsia"/>
                <w:sz w:val="18"/>
                <w:szCs w:val="18"/>
              </w:rPr>
              <w:t>（</w:t>
            </w:r>
            <w:r>
              <w:rPr>
                <w:sz w:val="18"/>
                <w:szCs w:val="18"/>
              </w:rPr>
              <w:t>新旧工业广场、新旧办公生活区、堆料区、废渣</w:t>
            </w:r>
            <w:r>
              <w:rPr>
                <w:rFonts w:hint="eastAsia"/>
                <w:sz w:val="18"/>
                <w:szCs w:val="18"/>
              </w:rPr>
              <w:t>堆</w:t>
            </w:r>
            <w:r>
              <w:rPr>
                <w:sz w:val="18"/>
                <w:szCs w:val="18"/>
              </w:rPr>
              <w:t>和新旧道路</w:t>
            </w:r>
            <w:r>
              <w:rPr>
                <w:rFonts w:hint="eastAsia"/>
                <w:sz w:val="18"/>
                <w:szCs w:val="18"/>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99" w:type="pct"/>
            <w:vAlign w:val="center"/>
          </w:tcPr>
          <w:p>
            <w:pPr>
              <w:adjustRightInd w:val="0"/>
              <w:snapToGrid w:val="0"/>
              <w:jc w:val="center"/>
              <w:rPr>
                <w:sz w:val="18"/>
                <w:szCs w:val="18"/>
              </w:rPr>
            </w:pPr>
            <w:r>
              <w:rPr>
                <w:sz w:val="18"/>
                <w:szCs w:val="18"/>
              </w:rPr>
              <w:t>一般防治区</w:t>
            </w:r>
          </w:p>
        </w:tc>
        <w:tc>
          <w:tcPr>
            <w:tcW w:w="3501" w:type="pct"/>
            <w:vAlign w:val="center"/>
          </w:tcPr>
          <w:p>
            <w:pPr>
              <w:adjustRightInd w:val="0"/>
              <w:snapToGrid w:val="0"/>
              <w:rPr>
                <w:sz w:val="18"/>
                <w:szCs w:val="18"/>
              </w:rPr>
            </w:pPr>
            <w:r>
              <w:rPr>
                <w:sz w:val="18"/>
                <w:szCs w:val="18"/>
              </w:rPr>
              <w:t>重点</w:t>
            </w:r>
            <w:r>
              <w:rPr>
                <w:rFonts w:hint="eastAsia"/>
                <w:sz w:val="18"/>
                <w:szCs w:val="18"/>
              </w:rPr>
              <w:t>、次重点</w:t>
            </w:r>
            <w:r>
              <w:rPr>
                <w:sz w:val="18"/>
                <w:szCs w:val="18"/>
              </w:rPr>
              <w:t>防治区之外区域</w:t>
            </w:r>
          </w:p>
        </w:tc>
      </w:tr>
    </w:tbl>
    <w:p>
      <w:pPr>
        <w:pStyle w:val="30"/>
        <w:rPr>
          <w:color w:val="000000"/>
        </w:rPr>
      </w:pPr>
      <w:bookmarkStart w:id="219" w:name="_Toc71036670"/>
      <w:r>
        <w:rPr>
          <w:rFonts w:hint="eastAsia"/>
          <w:color w:val="000000"/>
        </w:rPr>
        <w:t>5.2方案设计</w:t>
      </w:r>
      <w:bookmarkEnd w:id="219"/>
    </w:p>
    <w:p>
      <w:pPr>
        <w:pStyle w:val="28"/>
        <w:ind w:firstLine="480" w:firstLineChars="200"/>
        <w:rPr>
          <w:rFonts w:ascii="Times New Roman" w:hAnsi="Times New Roman" w:cs="Times New Roman"/>
          <w:color w:val="auto"/>
        </w:rPr>
      </w:pPr>
      <w:r>
        <w:rPr>
          <w:rFonts w:ascii="Times New Roman" w:hAnsi="Times New Roman" w:cs="Times New Roman"/>
          <w:color w:val="auto"/>
        </w:rPr>
        <w:t>通过对矿山的现状调查</w:t>
      </w:r>
      <w:r>
        <w:rPr>
          <w:rFonts w:hint="eastAsia" w:ascii="Times New Roman" w:hAnsi="Times New Roman" w:cs="Times New Roman"/>
          <w:color w:val="auto"/>
        </w:rPr>
        <w:t>，</w:t>
      </w:r>
      <w:r>
        <w:rPr>
          <w:rFonts w:ascii="Times New Roman" w:hAnsi="Times New Roman" w:cs="Times New Roman"/>
          <w:color w:val="auto"/>
        </w:rPr>
        <w:t>明确矿山的污染现状和生态破坏情况</w:t>
      </w:r>
      <w:r>
        <w:rPr>
          <w:rFonts w:hint="eastAsia" w:ascii="Times New Roman" w:hAnsi="Times New Roman" w:cs="Times New Roman"/>
          <w:color w:val="auto"/>
        </w:rPr>
        <w:t>，</w:t>
      </w:r>
      <w:r>
        <w:rPr>
          <w:rFonts w:ascii="Times New Roman" w:hAnsi="Times New Roman" w:cs="Times New Roman"/>
          <w:color w:val="auto"/>
        </w:rPr>
        <w:t>根据预测结果</w:t>
      </w:r>
      <w:r>
        <w:rPr>
          <w:rFonts w:hint="eastAsia" w:ascii="Times New Roman" w:hAnsi="Times New Roman" w:cs="Times New Roman"/>
          <w:color w:val="auto"/>
        </w:rPr>
        <w:t>，</w:t>
      </w:r>
      <w:r>
        <w:rPr>
          <w:rFonts w:ascii="Times New Roman" w:hAnsi="Times New Roman" w:cs="Times New Roman"/>
          <w:color w:val="auto"/>
        </w:rPr>
        <w:t>并结合拟定的综合整治目标和分阶段确定的各项指标</w:t>
      </w:r>
      <w:r>
        <w:rPr>
          <w:rFonts w:hint="eastAsia" w:ascii="Times New Roman" w:hAnsi="Times New Roman" w:cs="Times New Roman"/>
          <w:color w:val="auto"/>
        </w:rPr>
        <w:t>，</w:t>
      </w:r>
      <w:r>
        <w:rPr>
          <w:rFonts w:ascii="Times New Roman" w:hAnsi="Times New Roman" w:cs="Times New Roman"/>
          <w:color w:val="auto"/>
        </w:rPr>
        <w:t>确定各阶段的主要任务。</w:t>
      </w:r>
      <w:r>
        <w:rPr>
          <w:rFonts w:ascii="Times New Roman" w:hAnsi="Times New Roman" w:cs="Times New Roman"/>
          <w:color w:val="auto"/>
        </w:rPr>
        <w:br w:type="textWrapping"/>
      </w:r>
      <w:r>
        <w:rPr>
          <w:rFonts w:ascii="Times New Roman" w:hAnsi="Times New Roman" w:cs="Times New Roman"/>
          <w:color w:val="auto"/>
        </w:rPr>
        <w:t>根据现状调查情况分析</w:t>
      </w:r>
      <w:r>
        <w:rPr>
          <w:rFonts w:hint="eastAsia" w:ascii="Times New Roman" w:hAnsi="Times New Roman" w:cs="Times New Roman"/>
          <w:color w:val="auto"/>
        </w:rPr>
        <w:t>，</w:t>
      </w:r>
      <w:r>
        <w:rPr>
          <w:rFonts w:ascii="Times New Roman" w:hAnsi="Times New Roman" w:cs="Times New Roman"/>
          <w:color w:val="auto"/>
        </w:rPr>
        <w:t>本方案主要治理任务为</w:t>
      </w:r>
      <w:r>
        <w:rPr>
          <w:rFonts w:hint="eastAsia" w:ascii="Times New Roman" w:hAnsi="Times New Roman" w:cs="Times New Roman"/>
          <w:color w:val="auto"/>
        </w:rPr>
        <w:t>：</w:t>
      </w:r>
      <w:r>
        <w:rPr>
          <w:rFonts w:ascii="Times New Roman" w:hAnsi="Times New Roman" w:cs="Times New Roman"/>
          <w:color w:val="auto"/>
        </w:rPr>
        <w:t>采场生态修复治理工程</w:t>
      </w:r>
      <w:r>
        <w:rPr>
          <w:rFonts w:hint="eastAsia" w:ascii="Times New Roman" w:hAnsi="Times New Roman" w:cs="Times New Roman"/>
          <w:color w:val="auto"/>
        </w:rPr>
        <w:t>、</w:t>
      </w:r>
      <w:r>
        <w:rPr>
          <w:rFonts w:ascii="Times New Roman" w:hAnsi="Times New Roman" w:cs="Times New Roman"/>
          <w:color w:val="auto"/>
        </w:rPr>
        <w:t>生产生活区生态修复治理工程。具体治理任务如下：</w:t>
      </w:r>
    </w:p>
    <w:p>
      <w:pPr>
        <w:pStyle w:val="28"/>
        <w:ind w:firstLine="480" w:firstLineChars="200"/>
        <w:rPr>
          <w:rFonts w:ascii="Times New Roman" w:hAnsi="Times New Roman" w:cs="Times New Roman"/>
        </w:rPr>
      </w:pPr>
      <w:r>
        <w:rPr>
          <w:rFonts w:hint="eastAsia" w:ascii="Times New Roman" w:hAnsi="Times New Roman" w:cs="Times New Roman"/>
          <w:color w:val="auto"/>
        </w:rPr>
        <w:t>矿山</w:t>
      </w:r>
      <w:r>
        <w:rPr>
          <w:rFonts w:ascii="Times New Roman" w:hAnsi="Times New Roman" w:cs="Times New Roman"/>
          <w:color w:val="auto"/>
        </w:rPr>
        <w:t>开采形成的露天采场</w:t>
      </w:r>
      <w:r>
        <w:rPr>
          <w:rFonts w:ascii="Times New Roman" w:hAnsi="Times New Roman" w:cs="Times New Roman"/>
        </w:rPr>
        <w:t>破坏土壤的原生结构</w:t>
      </w:r>
      <w:r>
        <w:rPr>
          <w:rFonts w:hint="eastAsia" w:ascii="Times New Roman" w:hAnsi="Times New Roman" w:cs="Times New Roman"/>
        </w:rPr>
        <w:t>，</w:t>
      </w:r>
      <w:r>
        <w:rPr>
          <w:rFonts w:ascii="Times New Roman" w:hAnsi="Times New Roman" w:cs="Times New Roman"/>
        </w:rPr>
        <w:t>使其部分丧失保持水分和肥力的能力,进而影响地表植被的正常生长。矿产开采致使采场周边的斜坡土壤裸露</w:t>
      </w:r>
      <w:r>
        <w:rPr>
          <w:rFonts w:hint="eastAsia" w:ascii="Times New Roman" w:hAnsi="Times New Roman" w:cs="Times New Roman"/>
        </w:rPr>
        <w:t>，</w:t>
      </w:r>
      <w:r>
        <w:rPr>
          <w:rFonts w:ascii="Times New Roman" w:hAnsi="Times New Roman" w:cs="Times New Roman"/>
        </w:rPr>
        <w:t>容易引起塌方或滑坡等地质灾害</w:t>
      </w:r>
      <w:r>
        <w:rPr>
          <w:rFonts w:hint="eastAsia" w:ascii="Times New Roman" w:hAnsi="Times New Roman" w:cs="Times New Roman"/>
        </w:rPr>
        <w:t>，</w:t>
      </w:r>
      <w:r>
        <w:rPr>
          <w:rFonts w:ascii="Times New Roman" w:hAnsi="Times New Roman" w:cs="Times New Roman"/>
        </w:rPr>
        <w:t>不仅会对人们生命财产造成严重威胁</w:t>
      </w:r>
      <w:r>
        <w:rPr>
          <w:rFonts w:hint="eastAsia" w:ascii="Times New Roman" w:hAnsi="Times New Roman" w:cs="Times New Roman"/>
        </w:rPr>
        <w:t>，</w:t>
      </w:r>
      <w:r>
        <w:rPr>
          <w:rFonts w:ascii="Times New Roman" w:hAnsi="Times New Roman" w:cs="Times New Roman"/>
        </w:rPr>
        <w:t>从生态角度来看</w:t>
      </w:r>
      <w:r>
        <w:rPr>
          <w:rFonts w:hint="eastAsia" w:ascii="Times New Roman" w:hAnsi="Times New Roman" w:cs="Times New Roman"/>
        </w:rPr>
        <w:t>，</w:t>
      </w:r>
      <w:r>
        <w:rPr>
          <w:rFonts w:ascii="Times New Roman" w:hAnsi="Times New Roman" w:cs="Times New Roman"/>
        </w:rPr>
        <w:t>也会引起所在区域的水土流失。</w:t>
      </w:r>
      <w:r>
        <w:rPr>
          <w:rFonts w:ascii="Times New Roman" w:hAnsi="Times New Roman" w:cs="Times New Roman"/>
        </w:rPr>
        <w:br w:type="textWrapping"/>
      </w:r>
      <w:r>
        <w:rPr>
          <w:rFonts w:ascii="Times New Roman" w:hAnsi="Times New Roman" w:cs="Times New Roman"/>
        </w:rPr>
        <w:t>采场原矿由运输公路将其运送到</w:t>
      </w:r>
      <w:r>
        <w:rPr>
          <w:rFonts w:hint="eastAsia" w:ascii="Times New Roman" w:hAnsi="Times New Roman" w:cs="Times New Roman"/>
        </w:rPr>
        <w:t>工业</w:t>
      </w:r>
      <w:r>
        <w:rPr>
          <w:rFonts w:ascii="Times New Roman" w:hAnsi="Times New Roman" w:cs="Times New Roman"/>
        </w:rPr>
        <w:t>场地进行加工</w:t>
      </w:r>
      <w:r>
        <w:rPr>
          <w:rFonts w:hint="eastAsia" w:ascii="Times New Roman" w:hAnsi="Times New Roman" w:cs="Times New Roman"/>
        </w:rPr>
        <w:t>，</w:t>
      </w:r>
      <w:r>
        <w:rPr>
          <w:rFonts w:ascii="Times New Roman" w:hAnsi="Times New Roman" w:cs="Times New Roman"/>
        </w:rPr>
        <w:t>采场到</w:t>
      </w:r>
      <w:r>
        <w:rPr>
          <w:rFonts w:hint="eastAsia" w:ascii="Times New Roman" w:hAnsi="Times New Roman" w:cs="Times New Roman"/>
        </w:rPr>
        <w:t>工业</w:t>
      </w:r>
      <w:r>
        <w:rPr>
          <w:rFonts w:ascii="Times New Roman" w:hAnsi="Times New Roman" w:cs="Times New Roman"/>
        </w:rPr>
        <w:t>场地之间的运输道路两侧为土壤裸露区</w:t>
      </w:r>
      <w:r>
        <w:rPr>
          <w:rFonts w:hint="eastAsia" w:ascii="Times New Roman" w:hAnsi="Times New Roman" w:cs="Times New Roman"/>
        </w:rPr>
        <w:t>，</w:t>
      </w:r>
      <w:r>
        <w:rPr>
          <w:rFonts w:ascii="Times New Roman" w:hAnsi="Times New Roman" w:cs="Times New Roman"/>
        </w:rPr>
        <w:t>易引起水土流失</w:t>
      </w:r>
      <w:r>
        <w:rPr>
          <w:rFonts w:hint="eastAsia" w:ascii="Times New Roman" w:hAnsi="Times New Roman" w:cs="Times New Roman"/>
        </w:rPr>
        <w:t>，</w:t>
      </w:r>
      <w:r>
        <w:rPr>
          <w:rFonts w:ascii="Times New Roman" w:hAnsi="Times New Roman" w:cs="Times New Roman"/>
        </w:rPr>
        <w:t>对运输车辆造成危害。故应对其进行绿化处理。若道路一侧为自然冲沟时</w:t>
      </w:r>
      <w:r>
        <w:rPr>
          <w:rFonts w:hint="eastAsia" w:ascii="Times New Roman" w:hAnsi="Times New Roman" w:cs="Times New Roman"/>
        </w:rPr>
        <w:t>，</w:t>
      </w:r>
      <w:r>
        <w:rPr>
          <w:rFonts w:ascii="Times New Roman" w:hAnsi="Times New Roman" w:cs="Times New Roman"/>
        </w:rPr>
        <w:t>需对沟坡进行加固处理。</w:t>
      </w:r>
      <w:r>
        <w:rPr>
          <w:rFonts w:ascii="Times New Roman" w:hAnsi="Times New Roman" w:cs="Times New Roman"/>
        </w:rPr>
        <w:br w:type="textWrapping"/>
      </w:r>
      <w:r>
        <w:rPr>
          <w:rFonts w:ascii="Times New Roman" w:hAnsi="Times New Roman" w:cs="Times New Roman"/>
        </w:rPr>
        <w:t>矿山对易引发水土流失区域未进行任何处理措施</w:t>
      </w:r>
      <w:r>
        <w:rPr>
          <w:rFonts w:hint="eastAsia" w:ascii="Times New Roman" w:hAnsi="Times New Roman" w:cs="Times New Roman"/>
        </w:rPr>
        <w:t>，</w:t>
      </w:r>
      <w:r>
        <w:rPr>
          <w:rFonts w:ascii="Times New Roman" w:hAnsi="Times New Roman" w:cs="Times New Roman"/>
        </w:rPr>
        <w:t>矿区范围内水土流失较严重</w:t>
      </w:r>
      <w:r>
        <w:rPr>
          <w:rFonts w:hint="eastAsia" w:ascii="Times New Roman" w:hAnsi="Times New Roman" w:cs="Times New Roman"/>
        </w:rPr>
        <w:t>，</w:t>
      </w:r>
      <w:r>
        <w:rPr>
          <w:rFonts w:ascii="Times New Roman" w:hAnsi="Times New Roman" w:cs="Times New Roman"/>
        </w:rPr>
        <w:t>生态环境较差。所以</w:t>
      </w:r>
      <w:r>
        <w:rPr>
          <w:rFonts w:hint="eastAsia" w:ascii="Times New Roman" w:hAnsi="Times New Roman" w:cs="Times New Roman"/>
        </w:rPr>
        <w:t>，</w:t>
      </w:r>
      <w:r>
        <w:rPr>
          <w:rFonts w:ascii="Times New Roman" w:hAnsi="Times New Roman" w:cs="Times New Roman"/>
        </w:rPr>
        <w:t>需要有一个完善的方案对水土流失区域进行治理,经实际调查</w:t>
      </w:r>
      <w:r>
        <w:rPr>
          <w:rFonts w:hint="eastAsia" w:ascii="Times New Roman" w:hAnsi="Times New Roman" w:cs="Times New Roman"/>
        </w:rPr>
        <w:t>，</w:t>
      </w:r>
      <w:r>
        <w:rPr>
          <w:rFonts w:ascii="Times New Roman" w:hAnsi="Times New Roman" w:cs="Times New Roman"/>
        </w:rPr>
        <w:t>采场水土流失防治措施包括工程治理措施和植物(绿化)治理措施。</w:t>
      </w:r>
    </w:p>
    <w:p>
      <w:pPr>
        <w:pStyle w:val="31"/>
      </w:pPr>
      <w:bookmarkStart w:id="220" w:name="_Toc71036671"/>
      <w:r>
        <w:t>5.2.2 “三废”治理工程</w:t>
      </w:r>
      <w:bookmarkEnd w:id="220"/>
    </w:p>
    <w:p>
      <w:pPr>
        <w:pStyle w:val="28"/>
        <w:rPr>
          <w:rFonts w:ascii="Times New Roman" w:hAnsi="Times New Roman" w:cs="Times New Roman"/>
          <w:b/>
          <w:bCs/>
        </w:rPr>
      </w:pPr>
      <w:r>
        <w:rPr>
          <w:rFonts w:ascii="Times New Roman" w:hAnsi="Times New Roman" w:cs="Times New Roman"/>
          <w:b/>
          <w:bCs/>
        </w:rPr>
        <w:t>5.2.2.1 固体废弃物治理工程</w:t>
      </w:r>
    </w:p>
    <w:p>
      <w:pPr>
        <w:pStyle w:val="28"/>
        <w:ind w:firstLine="480" w:firstLineChars="200"/>
        <w:rPr>
          <w:rFonts w:ascii="Times New Roman" w:hAnsi="Times New Roman" w:cs="Times New Roman"/>
        </w:rPr>
      </w:pPr>
      <w:r>
        <w:rPr>
          <w:rFonts w:hint="eastAsia" w:ascii="Times New Roman" w:hAnsi="Times New Roman" w:cs="Times New Roman"/>
        </w:rPr>
        <w:t>根据“三合一”设计，</w:t>
      </w:r>
      <w:r>
        <w:rPr>
          <w:rFonts w:ascii="Times New Roman" w:hAnsi="Times New Roman" w:cs="Times New Roman"/>
        </w:rPr>
        <w:t>废渣场设置于以往剥采区内，设计标高为</w:t>
      </w:r>
      <w:r>
        <w:rPr>
          <w:rFonts w:hint="eastAsia" w:ascii="Times New Roman" w:hAnsi="Times New Roman" w:cs="Times New Roman"/>
        </w:rPr>
        <w:t>1005.8-1013.8</w:t>
      </w:r>
      <w:r>
        <w:rPr>
          <w:rFonts w:ascii="Times New Roman" w:hAnsi="Times New Roman" w:cs="Times New Roman"/>
        </w:rPr>
        <w:t>m。废渣场的堆放方式为分阶段堆放，阶段堆放高度为8m，堆放角度为其自然安息角，设计废渣场面积为0.3795hm</w:t>
      </w:r>
      <w:r>
        <w:rPr>
          <w:rFonts w:ascii="Times New Roman" w:hAnsi="Times New Roman" w:cs="Times New Roman"/>
          <w:vertAlign w:val="superscript"/>
        </w:rPr>
        <w:t>2</w:t>
      </w:r>
      <w:r>
        <w:rPr>
          <w:rFonts w:ascii="Times New Roman" w:hAnsi="Times New Roman" w:cs="Times New Roman"/>
        </w:rPr>
        <w:t>，</w:t>
      </w:r>
      <w:r>
        <w:rPr>
          <w:rFonts w:ascii="Times New Roman" w:hAnsi="Times New Roman" w:cs="Times New Roman"/>
          <w:bCs/>
        </w:rPr>
        <w:t>经估算本废渣场容积约为</w:t>
      </w:r>
      <w:r>
        <w:rPr>
          <w:rFonts w:ascii="Times New Roman" w:hAnsi="Times New Roman" w:cs="Times New Roman"/>
        </w:rPr>
        <w:t>1.0万m</w:t>
      </w:r>
      <w:r>
        <w:rPr>
          <w:rFonts w:ascii="Times New Roman" w:hAnsi="Times New Roman" w:cs="Times New Roman"/>
          <w:vertAlign w:val="superscript"/>
        </w:rPr>
        <w:t>3</w:t>
      </w:r>
      <w:r>
        <w:rPr>
          <w:rFonts w:ascii="Times New Roman" w:hAnsi="Times New Roman" w:cs="Times New Roman"/>
        </w:rPr>
        <w:t>，</w:t>
      </w:r>
      <w:r>
        <w:rPr>
          <w:rFonts w:ascii="Times New Roman" w:hAnsi="Times New Roman" w:cs="Times New Roman"/>
          <w:bCs/>
        </w:rPr>
        <w:t>满足露天采场弃土、弃渣排放的需求</w:t>
      </w:r>
      <w:r>
        <w:rPr>
          <w:rFonts w:hint="eastAsia" w:ascii="Times New Roman" w:hAnsi="Times New Roman" w:cs="Times New Roman"/>
          <w:bCs/>
        </w:rPr>
        <w:t>，</w:t>
      </w:r>
      <w:r>
        <w:rPr>
          <w:rFonts w:ascii="Times New Roman" w:hAnsi="Times New Roman" w:cs="Times New Roman"/>
          <w:bCs/>
        </w:rPr>
        <w:t>矿山应根据</w:t>
      </w:r>
      <w:r>
        <w:rPr>
          <w:rFonts w:hint="eastAsia" w:ascii="Times New Roman" w:hAnsi="Times New Roman" w:cs="Times New Roman"/>
        </w:rPr>
        <w:t>“三合一”设计，完善废渣场建设</w:t>
      </w:r>
      <w:r>
        <w:rPr>
          <w:rFonts w:ascii="Times New Roman" w:hAnsi="Times New Roman" w:cs="Times New Roman"/>
          <w:bCs/>
        </w:rPr>
        <w:t>。</w:t>
      </w:r>
    </w:p>
    <w:p>
      <w:pPr>
        <w:pStyle w:val="28"/>
        <w:rPr>
          <w:rFonts w:ascii="Times New Roman" w:hAnsi="Times New Roman" w:cs="Times New Roman"/>
          <w:b/>
          <w:bCs/>
        </w:rPr>
      </w:pPr>
      <w:r>
        <w:rPr>
          <w:rFonts w:ascii="Times New Roman" w:hAnsi="Times New Roman" w:cs="Times New Roman"/>
          <w:b/>
          <w:bCs/>
        </w:rPr>
        <w:t>5.2.2.2粉尘的抑制</w:t>
      </w:r>
    </w:p>
    <w:p>
      <w:pPr>
        <w:pStyle w:val="28"/>
        <w:ind w:firstLine="480" w:firstLineChars="200"/>
        <w:rPr>
          <w:rFonts w:ascii="Times New Roman" w:hAnsi="Times New Roman" w:cs="Times New Roman"/>
        </w:rPr>
      </w:pPr>
      <w:r>
        <w:rPr>
          <w:rFonts w:ascii="Times New Roman" w:hAnsi="Times New Roman" w:cs="Times New Roman"/>
        </w:rPr>
        <w:t>矿山采矿工艺采用沿山坡露天开采</w:t>
      </w:r>
      <w:r>
        <w:rPr>
          <w:rFonts w:hint="eastAsia" w:ascii="Times New Roman" w:hAnsi="Times New Roman" w:cs="Times New Roman"/>
        </w:rPr>
        <w:t>，</w:t>
      </w:r>
      <w:r>
        <w:rPr>
          <w:rFonts w:ascii="Times New Roman" w:hAnsi="Times New Roman" w:cs="Times New Roman"/>
        </w:rPr>
        <w:t>采用先行边帮剥离</w:t>
      </w:r>
      <w:r>
        <w:rPr>
          <w:rFonts w:hint="eastAsia" w:ascii="Times New Roman" w:hAnsi="Times New Roman" w:cs="Times New Roman"/>
        </w:rPr>
        <w:t>，</w:t>
      </w:r>
      <w:r>
        <w:rPr>
          <w:rFonts w:ascii="Times New Roman" w:hAnsi="Times New Roman" w:cs="Times New Roman"/>
        </w:rPr>
        <w:t>由上而下分台阶逐层开采的工艺</w:t>
      </w:r>
      <w:r>
        <w:rPr>
          <w:rFonts w:hint="eastAsia" w:ascii="Times New Roman" w:hAnsi="Times New Roman" w:cs="Times New Roman"/>
        </w:rPr>
        <w:t>，</w:t>
      </w:r>
      <w:r>
        <w:rPr>
          <w:rFonts w:ascii="Times New Roman" w:hAnsi="Times New Roman" w:cs="Times New Roman"/>
        </w:rPr>
        <w:t>采矿实行半机械化开采</w:t>
      </w:r>
      <w:r>
        <w:rPr>
          <w:rFonts w:hint="eastAsia" w:ascii="Times New Roman" w:hAnsi="Times New Roman" w:cs="Times New Roman"/>
        </w:rPr>
        <w:t>，</w:t>
      </w:r>
      <w:r>
        <w:rPr>
          <w:rFonts w:ascii="Times New Roman" w:hAnsi="Times New Roman" w:cs="Times New Roman"/>
        </w:rPr>
        <w:t>矿岩爆破采用机械打眼、小炮扩孔、药勺爆破，爆破坡度大于350mm的用人工锤破或二次爆破。运矿汽车直接靠至破堆</w:t>
      </w:r>
      <w:r>
        <w:rPr>
          <w:rFonts w:hint="eastAsia" w:ascii="Times New Roman" w:hAnsi="Times New Roman" w:cs="Times New Roman"/>
        </w:rPr>
        <w:t>，</w:t>
      </w:r>
      <w:r>
        <w:rPr>
          <w:rFonts w:ascii="Times New Roman" w:hAnsi="Times New Roman" w:cs="Times New Roman"/>
        </w:rPr>
        <w:t>由装载机运下山。在矿产采运过程中会产生大量粉尘</w:t>
      </w:r>
      <w:r>
        <w:rPr>
          <w:rFonts w:hint="eastAsia" w:ascii="Times New Roman" w:hAnsi="Times New Roman" w:cs="Times New Roman"/>
        </w:rPr>
        <w:t>，</w:t>
      </w:r>
      <w:r>
        <w:rPr>
          <w:rFonts w:ascii="Times New Roman" w:hAnsi="Times New Roman" w:cs="Times New Roman"/>
        </w:rPr>
        <w:t>对空气造成污染。</w:t>
      </w:r>
      <w:r>
        <w:rPr>
          <w:rFonts w:ascii="Times New Roman" w:hAnsi="Times New Roman" w:cs="Times New Roman"/>
        </w:rPr>
        <w:br w:type="textWrapping"/>
      </w:r>
      <w:r>
        <w:rPr>
          <w:rFonts w:ascii="Times New Roman" w:hAnsi="Times New Roman" w:cs="Times New Roman"/>
        </w:rPr>
        <w:t>目前，矿山采场采矿过程中已设置除尘设施</w:t>
      </w:r>
      <w:r>
        <w:rPr>
          <w:rFonts w:hint="eastAsia" w:ascii="Times New Roman" w:hAnsi="Times New Roman" w:cs="Times New Roman"/>
        </w:rPr>
        <w:t>，</w:t>
      </w:r>
      <w:r>
        <w:rPr>
          <w:rFonts w:ascii="Times New Roman" w:hAnsi="Times New Roman" w:cs="Times New Roman"/>
        </w:rPr>
        <w:t>穿孔、爆破处设置洒水装置。</w:t>
      </w:r>
      <w:r>
        <w:rPr>
          <w:rFonts w:hint="eastAsia" w:ascii="Times New Roman" w:hAnsi="Times New Roman" w:cs="Times New Roman"/>
        </w:rPr>
        <w:t>工业</w:t>
      </w:r>
      <w:r>
        <w:rPr>
          <w:rFonts w:ascii="Times New Roman" w:hAnsi="Times New Roman" w:cs="Times New Roman"/>
        </w:rPr>
        <w:t>场地内的厂棚应全部封闭。</w:t>
      </w:r>
    </w:p>
    <w:p>
      <w:pPr>
        <w:pStyle w:val="28"/>
        <w:rPr>
          <w:rFonts w:ascii="Times New Roman" w:hAnsi="Times New Roman" w:cs="Times New Roman"/>
          <w:b/>
          <w:bCs/>
        </w:rPr>
      </w:pPr>
      <w:r>
        <w:rPr>
          <w:rFonts w:ascii="Times New Roman" w:hAnsi="Times New Roman" w:cs="Times New Roman"/>
          <w:b/>
          <w:bCs/>
        </w:rPr>
        <w:t>5.2.2.3 汽车运输道路扬尘的抑制</w:t>
      </w:r>
    </w:p>
    <w:p>
      <w:pPr>
        <w:pStyle w:val="28"/>
        <w:ind w:firstLine="480" w:firstLineChars="200"/>
        <w:rPr>
          <w:rFonts w:ascii="Times New Roman" w:hAnsi="Times New Roman" w:cs="Times New Roman"/>
        </w:rPr>
      </w:pPr>
      <w:r>
        <w:rPr>
          <w:rFonts w:ascii="Times New Roman" w:hAnsi="Times New Roman" w:cs="Times New Roman"/>
        </w:rPr>
        <w:t>运输过程排污主要为原矿外运产生的污染影响</w:t>
      </w:r>
      <w:r>
        <w:rPr>
          <w:rFonts w:hint="eastAsia" w:ascii="Times New Roman" w:hAnsi="Times New Roman" w:cs="Times New Roman"/>
        </w:rPr>
        <w:t>，</w:t>
      </w:r>
      <w:r>
        <w:rPr>
          <w:rFonts w:ascii="Times New Roman" w:hAnsi="Times New Roman" w:cs="Times New Roman"/>
        </w:rPr>
        <w:t>运输过程中将产生道路扬尘污染。</w:t>
      </w:r>
      <w:r>
        <w:rPr>
          <w:rFonts w:ascii="Times New Roman" w:hAnsi="Times New Roman" w:cs="Times New Roman"/>
        </w:rPr>
        <w:br w:type="textWrapping"/>
      </w:r>
      <w:r>
        <w:rPr>
          <w:rFonts w:ascii="Times New Roman" w:hAnsi="Times New Roman" w:cs="Times New Roman"/>
        </w:rPr>
        <w:t>根据山西省内环保有关要求</w:t>
      </w:r>
      <w:r>
        <w:rPr>
          <w:rFonts w:hint="eastAsia" w:ascii="Times New Roman" w:hAnsi="Times New Roman" w:cs="Times New Roman"/>
        </w:rPr>
        <w:t>，</w:t>
      </w:r>
      <w:r>
        <w:rPr>
          <w:rFonts w:ascii="Times New Roman" w:hAnsi="Times New Roman" w:cs="Times New Roman"/>
        </w:rPr>
        <w:t>为了控制汽车运输产生的道路扬尘</w:t>
      </w:r>
      <w:r>
        <w:rPr>
          <w:rFonts w:hint="eastAsia" w:ascii="Times New Roman" w:hAnsi="Times New Roman" w:cs="Times New Roman"/>
        </w:rPr>
        <w:t>，</w:t>
      </w:r>
      <w:r>
        <w:rPr>
          <w:rFonts w:ascii="Times New Roman" w:hAnsi="Times New Roman" w:cs="Times New Roman"/>
        </w:rPr>
        <w:t>运矿道路需进行硬化</w:t>
      </w:r>
      <w:r>
        <w:rPr>
          <w:rFonts w:hint="eastAsia" w:ascii="Times New Roman" w:hAnsi="Times New Roman" w:cs="Times New Roman"/>
        </w:rPr>
        <w:t>，</w:t>
      </w:r>
      <w:r>
        <w:rPr>
          <w:rFonts w:ascii="Times New Roman" w:hAnsi="Times New Roman" w:cs="Times New Roman"/>
        </w:rPr>
        <w:t>同时保持路面清洁和相对湿度</w:t>
      </w:r>
      <w:r>
        <w:rPr>
          <w:rFonts w:hint="eastAsia" w:ascii="Times New Roman" w:hAnsi="Times New Roman" w:cs="Times New Roman"/>
        </w:rPr>
        <w:t>；</w:t>
      </w:r>
      <w:r>
        <w:rPr>
          <w:rFonts w:ascii="Times New Roman" w:hAnsi="Times New Roman" w:cs="Times New Roman"/>
        </w:rPr>
        <w:t>运矿汽车必须加盖蓬布</w:t>
      </w:r>
      <w:r>
        <w:rPr>
          <w:rFonts w:hint="eastAsia" w:ascii="Times New Roman" w:hAnsi="Times New Roman" w:cs="Times New Roman"/>
        </w:rPr>
        <w:t>，</w:t>
      </w:r>
      <w:r>
        <w:rPr>
          <w:rFonts w:ascii="Times New Roman" w:hAnsi="Times New Roman" w:cs="Times New Roman"/>
        </w:rPr>
        <w:t>控制其装载量。运输汽车离开工业场地时</w:t>
      </w:r>
      <w:r>
        <w:rPr>
          <w:rFonts w:hint="eastAsia" w:ascii="Times New Roman" w:hAnsi="Times New Roman" w:cs="Times New Roman"/>
        </w:rPr>
        <w:t>，</w:t>
      </w:r>
      <w:r>
        <w:rPr>
          <w:rFonts w:ascii="Times New Roman" w:hAnsi="Times New Roman" w:cs="Times New Roman"/>
        </w:rPr>
        <w:t>对汽车轮胎经过清洗后方可上路</w:t>
      </w:r>
      <w:r>
        <w:rPr>
          <w:rFonts w:hint="eastAsia" w:ascii="Times New Roman" w:hAnsi="Times New Roman" w:cs="Times New Roman"/>
        </w:rPr>
        <w:t>，</w:t>
      </w:r>
      <w:r>
        <w:rPr>
          <w:rFonts w:ascii="Times New Roman" w:hAnsi="Times New Roman" w:cs="Times New Roman"/>
        </w:rPr>
        <w:t>对厂区附近运输道路路面进行修整</w:t>
      </w:r>
      <w:r>
        <w:rPr>
          <w:rFonts w:hint="eastAsia" w:ascii="Times New Roman" w:hAnsi="Times New Roman" w:cs="Times New Roman"/>
        </w:rPr>
        <w:t>，</w:t>
      </w:r>
      <w:r>
        <w:rPr>
          <w:rFonts w:ascii="Times New Roman" w:hAnsi="Times New Roman" w:cs="Times New Roman"/>
        </w:rPr>
        <w:t>出现损失时及时修复</w:t>
      </w:r>
      <w:r>
        <w:rPr>
          <w:rFonts w:hint="eastAsia" w:ascii="Times New Roman" w:hAnsi="Times New Roman" w:cs="Times New Roman"/>
        </w:rPr>
        <w:t>，</w:t>
      </w:r>
      <w:r>
        <w:rPr>
          <w:rFonts w:ascii="Times New Roman" w:hAnsi="Times New Roman" w:cs="Times New Roman"/>
        </w:rPr>
        <w:t>并在公路两侧种植树木。道路靠山建设时</w:t>
      </w:r>
      <w:r>
        <w:rPr>
          <w:rFonts w:hint="eastAsia" w:ascii="Times New Roman" w:hAnsi="Times New Roman" w:cs="Times New Roman"/>
        </w:rPr>
        <w:t>，</w:t>
      </w:r>
      <w:r>
        <w:rPr>
          <w:rFonts w:ascii="Times New Roman" w:hAnsi="Times New Roman" w:cs="Times New Roman"/>
        </w:rPr>
        <w:t>需对沿沟一侧进行加固</w:t>
      </w:r>
      <w:r>
        <w:rPr>
          <w:rFonts w:hint="eastAsia" w:ascii="Times New Roman" w:hAnsi="Times New Roman" w:cs="Times New Roman"/>
        </w:rPr>
        <w:t>，</w:t>
      </w:r>
      <w:r>
        <w:rPr>
          <w:rFonts w:ascii="Times New Roman" w:hAnsi="Times New Roman" w:cs="Times New Roman"/>
        </w:rPr>
        <w:t>防止滑坡。</w:t>
      </w:r>
      <w:r>
        <w:rPr>
          <w:rFonts w:ascii="Times New Roman" w:hAnsi="Times New Roman" w:cs="Times New Roman"/>
        </w:rPr>
        <w:br w:type="textWrapping"/>
      </w:r>
      <w:r>
        <w:rPr>
          <w:rFonts w:ascii="Times New Roman" w:hAnsi="Times New Roman" w:cs="Times New Roman"/>
        </w:rPr>
        <w:t>目前往外运输矿产的道路全部为自然土状态</w:t>
      </w:r>
      <w:r>
        <w:rPr>
          <w:rFonts w:hint="eastAsia" w:ascii="Times New Roman" w:hAnsi="Times New Roman" w:cs="Times New Roman"/>
        </w:rPr>
        <w:t>，</w:t>
      </w:r>
      <w:r>
        <w:rPr>
          <w:rFonts w:ascii="Times New Roman" w:hAnsi="Times New Roman" w:cs="Times New Roman"/>
        </w:rPr>
        <w:t>道路两侧未进行任何处理</w:t>
      </w:r>
      <w:r>
        <w:rPr>
          <w:rFonts w:hint="eastAsia" w:ascii="Times New Roman" w:hAnsi="Times New Roman" w:cs="Times New Roman"/>
        </w:rPr>
        <w:t>，</w:t>
      </w:r>
      <w:r>
        <w:rPr>
          <w:rFonts w:ascii="Times New Roman" w:hAnsi="Times New Roman" w:cs="Times New Roman"/>
        </w:rPr>
        <w:t>需将道路进行硬化处理</w:t>
      </w:r>
      <w:r>
        <w:rPr>
          <w:rFonts w:hint="eastAsia" w:ascii="Times New Roman" w:hAnsi="Times New Roman" w:cs="Times New Roman"/>
        </w:rPr>
        <w:t>，</w:t>
      </w:r>
      <w:r>
        <w:rPr>
          <w:rFonts w:ascii="Times New Roman" w:hAnsi="Times New Roman" w:cs="Times New Roman"/>
        </w:rPr>
        <w:t>并定期进行洒水处理</w:t>
      </w:r>
      <w:r>
        <w:rPr>
          <w:rFonts w:hint="eastAsia" w:ascii="Times New Roman" w:hAnsi="Times New Roman" w:cs="Times New Roman"/>
        </w:rPr>
        <w:t>，</w:t>
      </w:r>
      <w:r>
        <w:rPr>
          <w:rFonts w:ascii="Times New Roman" w:hAnsi="Times New Roman" w:cs="Times New Roman"/>
        </w:rPr>
        <w:t>以保持相对湿度。</w:t>
      </w:r>
    </w:p>
    <w:p>
      <w:pPr>
        <w:pStyle w:val="28"/>
        <w:rPr>
          <w:rFonts w:ascii="Times New Roman" w:hAnsi="Times New Roman" w:cs="Times New Roman"/>
          <w:b/>
          <w:bCs/>
        </w:rPr>
      </w:pPr>
      <w:r>
        <w:rPr>
          <w:rFonts w:ascii="Times New Roman" w:hAnsi="Times New Roman" w:cs="Times New Roman"/>
          <w:b/>
          <w:bCs/>
        </w:rPr>
        <w:t>5.2.2.4 生</w:t>
      </w:r>
      <w:r>
        <w:rPr>
          <w:rFonts w:hint="eastAsia" w:ascii="Times New Roman" w:hAnsi="Times New Roman" w:cs="Times New Roman"/>
          <w:b/>
          <w:bCs/>
        </w:rPr>
        <w:t>活</w:t>
      </w:r>
      <w:r>
        <w:rPr>
          <w:rFonts w:ascii="Times New Roman" w:hAnsi="Times New Roman" w:cs="Times New Roman"/>
          <w:b/>
          <w:bCs/>
        </w:rPr>
        <w:t>污水治理工程</w:t>
      </w:r>
    </w:p>
    <w:p>
      <w:pPr>
        <w:pStyle w:val="28"/>
        <w:ind w:firstLine="480" w:firstLineChars="200"/>
        <w:rPr>
          <w:rFonts w:ascii="Times New Roman" w:hAnsi="Times New Roman" w:cs="Times New Roman"/>
        </w:rPr>
      </w:pPr>
      <w:r>
        <w:rPr>
          <w:rFonts w:ascii="Times New Roman" w:hAnsi="Times New Roman" w:cs="Times New Roman"/>
        </w:rPr>
        <w:t>五台县安顺源石料有限公司生活污水的产生量不大</w:t>
      </w:r>
      <w:r>
        <w:rPr>
          <w:rFonts w:hint="eastAsia" w:ascii="Times New Roman" w:hAnsi="Times New Roman" w:cs="Times New Roman"/>
        </w:rPr>
        <w:t>，</w:t>
      </w:r>
      <w:r>
        <w:rPr>
          <w:rFonts w:ascii="Times New Roman" w:hAnsi="Times New Roman" w:cs="Times New Roman"/>
        </w:rPr>
        <w:t>设置旱厕，定期进行清掏处理不乱排。</w:t>
      </w:r>
    </w:p>
    <w:p>
      <w:pPr>
        <w:pStyle w:val="28"/>
        <w:ind w:firstLine="480" w:firstLineChars="200"/>
        <w:rPr>
          <w:rFonts w:ascii="Times New Roman" w:hAnsi="Times New Roman" w:cs="Times New Roman"/>
        </w:rPr>
      </w:pPr>
    </w:p>
    <w:p>
      <w:pPr>
        <w:pStyle w:val="28"/>
        <w:ind w:firstLine="480" w:firstLineChars="200"/>
        <w:rPr>
          <w:rFonts w:ascii="Times New Roman" w:hAnsi="Times New Roman" w:cs="Times New Roman"/>
        </w:rPr>
      </w:pPr>
    </w:p>
    <w:p>
      <w:pPr>
        <w:pStyle w:val="28"/>
        <w:ind w:firstLine="480" w:firstLineChars="200"/>
        <w:rPr>
          <w:rFonts w:ascii="Times New Roman" w:hAnsi="Times New Roman" w:cs="Times New Roman"/>
        </w:rPr>
      </w:pPr>
    </w:p>
    <w:p>
      <w:pPr>
        <w:pStyle w:val="28"/>
        <w:ind w:firstLine="480" w:firstLineChars="200"/>
        <w:rPr>
          <w:rFonts w:ascii="Times New Roman" w:hAnsi="Times New Roman" w:cs="Times New Roman"/>
        </w:rPr>
      </w:pPr>
    </w:p>
    <w:p>
      <w:pPr>
        <w:pStyle w:val="28"/>
        <w:ind w:firstLine="480" w:firstLineChars="200"/>
        <w:rPr>
          <w:rFonts w:ascii="Times New Roman" w:hAnsi="Times New Roman" w:cs="Times New Roman"/>
        </w:rPr>
      </w:pPr>
    </w:p>
    <w:p>
      <w:pPr>
        <w:pStyle w:val="28"/>
        <w:ind w:firstLine="480" w:firstLineChars="200"/>
        <w:rPr>
          <w:rFonts w:ascii="Times New Roman" w:hAnsi="Times New Roman" w:cs="Times New Roman"/>
        </w:rPr>
      </w:pPr>
    </w:p>
    <w:p>
      <w:pPr>
        <w:pStyle w:val="28"/>
        <w:ind w:firstLine="480" w:firstLineChars="200"/>
        <w:rPr>
          <w:rFonts w:ascii="Times New Roman" w:hAnsi="Times New Roman" w:cs="Times New Roman"/>
        </w:rPr>
      </w:pPr>
    </w:p>
    <w:p>
      <w:pPr>
        <w:pStyle w:val="28"/>
        <w:ind w:firstLine="480" w:firstLineChars="200"/>
        <w:rPr>
          <w:rFonts w:ascii="Times New Roman" w:hAnsi="Times New Roman" w:cs="Times New Roman"/>
        </w:rPr>
      </w:pPr>
    </w:p>
    <w:p>
      <w:pPr>
        <w:pStyle w:val="28"/>
        <w:ind w:firstLine="480" w:firstLineChars="200"/>
        <w:rPr>
          <w:rFonts w:ascii="Times New Roman" w:hAnsi="Times New Roman" w:cs="Times New Roman"/>
        </w:rPr>
      </w:pPr>
    </w:p>
    <w:p>
      <w:pPr>
        <w:pStyle w:val="28"/>
        <w:ind w:firstLine="480" w:firstLineChars="200"/>
        <w:rPr>
          <w:rFonts w:ascii="Times New Roman" w:hAnsi="Times New Roman" w:cs="Times New Roman"/>
        </w:rPr>
      </w:pPr>
    </w:p>
    <w:p>
      <w:pPr>
        <w:pStyle w:val="28"/>
        <w:ind w:firstLine="480" w:firstLineChars="200"/>
        <w:rPr>
          <w:rFonts w:ascii="Times New Roman" w:hAnsi="Times New Roman" w:cs="Times New Roman"/>
        </w:rPr>
      </w:pPr>
    </w:p>
    <w:p>
      <w:pPr>
        <w:pStyle w:val="28"/>
        <w:ind w:firstLine="480" w:firstLineChars="200"/>
        <w:rPr>
          <w:rFonts w:ascii="Times New Roman" w:hAnsi="Times New Roman" w:cs="Times New Roman"/>
        </w:rPr>
      </w:pPr>
    </w:p>
    <w:p>
      <w:pPr>
        <w:pStyle w:val="28"/>
        <w:ind w:firstLine="480" w:firstLineChars="200"/>
        <w:rPr>
          <w:rFonts w:ascii="Times New Roman" w:hAnsi="Times New Roman" w:cs="Times New Roman"/>
        </w:rPr>
      </w:pPr>
    </w:p>
    <w:p>
      <w:pPr>
        <w:pStyle w:val="28"/>
        <w:ind w:firstLine="480" w:firstLineChars="200"/>
        <w:rPr>
          <w:rFonts w:ascii="Times New Roman" w:hAnsi="Times New Roman" w:cs="Times New Roman"/>
        </w:rPr>
      </w:pPr>
    </w:p>
    <w:p>
      <w:pPr>
        <w:pStyle w:val="28"/>
        <w:ind w:firstLine="480" w:firstLineChars="200"/>
        <w:rPr>
          <w:rFonts w:ascii="Times New Roman" w:hAnsi="Times New Roman" w:cs="Times New Roman"/>
        </w:rPr>
      </w:pPr>
    </w:p>
    <w:p>
      <w:pPr>
        <w:pStyle w:val="28"/>
        <w:ind w:firstLine="480" w:firstLineChars="200"/>
        <w:rPr>
          <w:rFonts w:ascii="Times New Roman" w:hAnsi="Times New Roman" w:cs="Times New Roman"/>
        </w:rPr>
      </w:pPr>
    </w:p>
    <w:p>
      <w:pPr>
        <w:pStyle w:val="28"/>
        <w:ind w:firstLine="480" w:firstLineChars="200"/>
        <w:rPr>
          <w:rFonts w:ascii="Times New Roman" w:hAnsi="Times New Roman" w:cs="Times New Roman"/>
        </w:rPr>
      </w:pPr>
    </w:p>
    <w:p>
      <w:pPr>
        <w:pStyle w:val="28"/>
        <w:ind w:firstLine="480" w:firstLineChars="200"/>
        <w:rPr>
          <w:rFonts w:ascii="Times New Roman" w:hAnsi="Times New Roman" w:cs="Times New Roman"/>
        </w:rPr>
      </w:pPr>
    </w:p>
    <w:p>
      <w:pPr>
        <w:pStyle w:val="28"/>
        <w:ind w:firstLine="480" w:firstLineChars="200"/>
        <w:rPr>
          <w:rFonts w:ascii="Times New Roman" w:hAnsi="Times New Roman" w:cs="Times New Roman"/>
        </w:rPr>
      </w:pPr>
    </w:p>
    <w:p>
      <w:pPr>
        <w:pStyle w:val="28"/>
        <w:ind w:firstLine="480" w:firstLineChars="200"/>
        <w:rPr>
          <w:rFonts w:ascii="Times New Roman" w:hAnsi="Times New Roman" w:cs="Times New Roman"/>
        </w:rPr>
      </w:pPr>
    </w:p>
    <w:p>
      <w:pPr>
        <w:pStyle w:val="28"/>
        <w:ind w:firstLine="480" w:firstLineChars="200"/>
        <w:rPr>
          <w:rFonts w:ascii="Times New Roman" w:hAnsi="Times New Roman" w:cs="Times New Roman"/>
        </w:rPr>
      </w:pPr>
    </w:p>
    <w:p>
      <w:pPr>
        <w:pStyle w:val="28"/>
        <w:ind w:firstLine="480" w:firstLineChars="200"/>
        <w:rPr>
          <w:rFonts w:ascii="Times New Roman" w:hAnsi="Times New Roman" w:cs="Times New Roman"/>
        </w:rPr>
      </w:pPr>
    </w:p>
    <w:p>
      <w:pPr>
        <w:pStyle w:val="28"/>
        <w:ind w:firstLine="480" w:firstLineChars="200"/>
        <w:rPr>
          <w:rFonts w:ascii="Times New Roman" w:hAnsi="Times New Roman" w:cs="Times New Roman"/>
        </w:rPr>
      </w:pPr>
    </w:p>
    <w:p>
      <w:pPr>
        <w:pStyle w:val="3"/>
        <w:rPr>
          <w:rFonts w:ascii="Times New Roman" w:hAnsi="Times New Roman"/>
        </w:rPr>
      </w:pPr>
      <w:bookmarkStart w:id="221" w:name="_Toc71036672"/>
      <w:r>
        <w:rPr>
          <w:rFonts w:ascii="Times New Roman" w:hAnsi="Times New Roman"/>
        </w:rPr>
        <w:t>6  治理工程及投资估算</w:t>
      </w:r>
      <w:bookmarkEnd w:id="221"/>
    </w:p>
    <w:p>
      <w:pPr>
        <w:pStyle w:val="28"/>
        <w:ind w:firstLine="480" w:firstLineChars="200"/>
        <w:rPr>
          <w:rFonts w:ascii="Times New Roman" w:hAnsi="Times New Roman" w:cs="Times New Roman"/>
        </w:rPr>
      </w:pPr>
      <w:bookmarkStart w:id="222" w:name="_Toc327299824"/>
      <w:bookmarkStart w:id="223" w:name="_Toc43774192"/>
      <w:bookmarkStart w:id="224" w:name="_Toc43765208"/>
      <w:r>
        <w:rPr>
          <w:rFonts w:ascii="Times New Roman" w:hAnsi="Times New Roman" w:cs="Times New Roman"/>
        </w:rPr>
        <w:t>为了完成方案确定的目标、指标，围绕主要任务，统筹规划、分期实施矿山开采生态恢复与环境治理工程，对于前面章节确定的各时期的主要任务，提出工程的建设内容、工程规模、实施时期。</w:t>
      </w:r>
      <w:bookmarkEnd w:id="222"/>
      <w:bookmarkEnd w:id="223"/>
      <w:bookmarkEnd w:id="224"/>
      <w:r>
        <w:rPr>
          <w:rFonts w:hint="eastAsia" w:ascii="Times New Roman" w:hAnsi="Times New Roman" w:cs="Times New Roman"/>
        </w:rPr>
        <w:t>矿山</w:t>
      </w:r>
      <w:r>
        <w:rPr>
          <w:rFonts w:ascii="Times New Roman" w:hAnsi="Times New Roman" w:cs="Times New Roman"/>
        </w:rPr>
        <w:t>已提交的</w:t>
      </w:r>
      <w:r>
        <w:rPr>
          <w:rFonts w:hint="eastAsia" w:ascii="Times New Roman" w:hAnsi="Times New Roman" w:cs="Times New Roman"/>
        </w:rPr>
        <w:t>“三合一”方案对矿区内的地质环境、土地复垦工程设计了工程量，本方案与“三合一”方案衔接，不再重复设计工程量。</w:t>
      </w:r>
    </w:p>
    <w:p>
      <w:pPr>
        <w:pStyle w:val="30"/>
      </w:pPr>
      <w:bookmarkStart w:id="225" w:name="_Toc517445098"/>
      <w:bookmarkStart w:id="226" w:name="_Toc71036673"/>
      <w:bookmarkStart w:id="227" w:name="_Toc517446442"/>
      <w:bookmarkStart w:id="228" w:name="_Toc517445870"/>
      <w:bookmarkStart w:id="229" w:name="_Toc517446128"/>
      <w:bookmarkStart w:id="230" w:name="_Toc29516"/>
      <w:r>
        <w:t>6.1治理工程</w:t>
      </w:r>
      <w:bookmarkEnd w:id="225"/>
      <w:bookmarkEnd w:id="226"/>
      <w:bookmarkEnd w:id="227"/>
      <w:bookmarkEnd w:id="228"/>
      <w:bookmarkEnd w:id="229"/>
      <w:bookmarkEnd w:id="230"/>
    </w:p>
    <w:p>
      <w:pPr>
        <w:pStyle w:val="31"/>
      </w:pPr>
      <w:bookmarkStart w:id="231" w:name="_Toc71036674"/>
      <w:r>
        <w:rPr>
          <w:rFonts w:hint="eastAsia"/>
        </w:rPr>
        <w:t>6.1.1生态环境治理工程</w:t>
      </w:r>
      <w:bookmarkEnd w:id="231"/>
    </w:p>
    <w:p>
      <w:pPr>
        <w:pStyle w:val="28"/>
        <w:ind w:firstLine="480" w:firstLineChars="200"/>
        <w:rPr>
          <w:rFonts w:ascii="Times New Roman" w:hAnsi="Times New Roman" w:cs="Times New Roman"/>
        </w:rPr>
      </w:pPr>
      <w:r>
        <w:rPr>
          <w:rFonts w:ascii="Times New Roman" w:hAnsi="Times New Roman" w:cs="Times New Roman"/>
        </w:rPr>
        <w:t>1、边坡防治工程</w:t>
      </w:r>
    </w:p>
    <w:p>
      <w:pPr>
        <w:pStyle w:val="28"/>
        <w:ind w:firstLine="480" w:firstLineChars="200"/>
        <w:rPr>
          <w:rFonts w:ascii="Times New Roman" w:hAnsi="Times New Roman" w:cs="Times New Roman"/>
        </w:rPr>
      </w:pPr>
      <w:r>
        <w:rPr>
          <w:rFonts w:ascii="Times New Roman" w:hAnsi="Times New Roman" w:cs="Times New Roman"/>
        </w:rPr>
        <w:t>该矿区为露天开采，矿山在生产过程中，必须严格按照前文的开发利用方案及相应的露天矿边坡留设规程进行采场边坡的施工，严禁采场各类边坡角大于规定允许值。为防止露天采场不稳定斜坡段发生崩塌灾害，需对矿界内露天采场内危岩体进行清理。</w:t>
      </w:r>
    </w:p>
    <w:p>
      <w:pPr>
        <w:pStyle w:val="28"/>
        <w:ind w:firstLine="480" w:firstLineChars="200"/>
        <w:rPr>
          <w:rFonts w:ascii="Times New Roman" w:hAnsi="Times New Roman" w:cs="Times New Roman"/>
        </w:rPr>
      </w:pPr>
      <w:r>
        <w:rPr>
          <w:rFonts w:ascii="Times New Roman" w:hAnsi="Times New Roman" w:cs="Times New Roman"/>
        </w:rPr>
        <w:t>工程范围：露天采场局部危岩体斜坡段。</w:t>
      </w:r>
    </w:p>
    <w:p>
      <w:pPr>
        <w:pStyle w:val="28"/>
        <w:ind w:firstLine="480" w:firstLineChars="200"/>
        <w:rPr>
          <w:rFonts w:ascii="Times New Roman" w:hAnsi="Times New Roman" w:cs="Times New Roman"/>
        </w:rPr>
      </w:pPr>
      <w:r>
        <w:rPr>
          <w:rFonts w:ascii="Times New Roman" w:hAnsi="Times New Roman" w:cs="Times New Roman"/>
        </w:rPr>
        <w:t>技术方法：危岩体清理</w:t>
      </w:r>
    </w:p>
    <w:p>
      <w:pPr>
        <w:pStyle w:val="28"/>
        <w:ind w:firstLine="480" w:firstLineChars="200"/>
        <w:rPr>
          <w:rFonts w:ascii="Times New Roman" w:hAnsi="Times New Roman" w:cs="Times New Roman"/>
        </w:rPr>
      </w:pPr>
      <w:r>
        <w:rPr>
          <w:rFonts w:ascii="Times New Roman" w:hAnsi="Times New Roman" w:cs="Times New Roman"/>
        </w:rPr>
        <w:t>工 程 量：清理量约240m</w:t>
      </w:r>
      <w:r>
        <w:rPr>
          <w:rFonts w:ascii="Times New Roman" w:hAnsi="Times New Roman" w:cs="Times New Roman"/>
          <w:vertAlign w:val="superscript"/>
        </w:rPr>
        <w:t>3</w:t>
      </w:r>
      <w:r>
        <w:rPr>
          <w:rFonts w:ascii="Times New Roman" w:hAnsi="Times New Roman" w:cs="Times New Roman"/>
        </w:rPr>
        <w:t>。</w:t>
      </w:r>
    </w:p>
    <w:p>
      <w:pPr>
        <w:pStyle w:val="41"/>
        <w:numPr>
          <w:ilvl w:val="0"/>
          <w:numId w:val="0"/>
        </w:numPr>
        <w:spacing w:line="560" w:lineRule="exact"/>
        <w:ind w:firstLine="1067" w:firstLineChars="443"/>
        <w:rPr>
          <w:rFonts w:ascii="Times New Roman" w:eastAsia="宋体"/>
          <w:bCs/>
          <w:sz w:val="24"/>
          <w:szCs w:val="24"/>
        </w:rPr>
      </w:pPr>
      <w:r>
        <w:rPr>
          <w:rFonts w:ascii="Times New Roman" w:eastAsia="宋体"/>
          <w:b/>
          <w:bCs/>
          <w:sz w:val="24"/>
          <w:szCs w:val="24"/>
        </w:rPr>
        <w:t>危岩体清理工程量估算表</w:t>
      </w:r>
      <w:r>
        <w:rPr>
          <w:rFonts w:ascii="Times New Roman" w:eastAsia="宋体"/>
          <w:bCs/>
          <w:sz w:val="24"/>
          <w:szCs w:val="24"/>
        </w:rPr>
        <w:t xml:space="preserve">    表</w:t>
      </w:r>
      <w:r>
        <w:rPr>
          <w:rFonts w:hint="eastAsia" w:ascii="Times New Roman" w:eastAsia="宋体"/>
          <w:bCs/>
          <w:sz w:val="24"/>
          <w:szCs w:val="24"/>
        </w:rPr>
        <w:t>6-1</w:t>
      </w:r>
    </w:p>
    <w:tbl>
      <w:tblPr>
        <w:tblStyle w:val="21"/>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2476"/>
        <w:gridCol w:w="2769"/>
        <w:gridCol w:w="1559"/>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55" w:hRule="atLeast"/>
          <w:tblHeader/>
          <w:jc w:val="center"/>
        </w:trPr>
        <w:tc>
          <w:tcPr>
            <w:tcW w:w="2476" w:type="dxa"/>
            <w:vAlign w:val="center"/>
          </w:tcPr>
          <w:p>
            <w:pPr>
              <w:widowControl/>
              <w:jc w:val="center"/>
              <w:textAlignment w:val="center"/>
              <w:rPr>
                <w:szCs w:val="24"/>
              </w:rPr>
            </w:pPr>
            <w:r>
              <w:rPr>
                <w:kern w:val="0"/>
                <w:szCs w:val="24"/>
              </w:rPr>
              <w:t>削坡区域</w:t>
            </w:r>
          </w:p>
        </w:tc>
        <w:tc>
          <w:tcPr>
            <w:tcW w:w="2769" w:type="dxa"/>
            <w:vAlign w:val="center"/>
          </w:tcPr>
          <w:p>
            <w:pPr>
              <w:widowControl/>
              <w:jc w:val="center"/>
              <w:textAlignment w:val="center"/>
              <w:rPr>
                <w:szCs w:val="24"/>
              </w:rPr>
            </w:pPr>
            <w:r>
              <w:rPr>
                <w:kern w:val="0"/>
                <w:szCs w:val="24"/>
              </w:rPr>
              <w:t>斜坡面积（m</w:t>
            </w:r>
            <w:r>
              <w:rPr>
                <w:kern w:val="0"/>
                <w:szCs w:val="24"/>
                <w:vertAlign w:val="superscript"/>
              </w:rPr>
              <w:t>2</w:t>
            </w:r>
            <w:r>
              <w:rPr>
                <w:kern w:val="0"/>
                <w:szCs w:val="24"/>
              </w:rPr>
              <w:t>）</w:t>
            </w:r>
          </w:p>
        </w:tc>
        <w:tc>
          <w:tcPr>
            <w:tcW w:w="1559" w:type="dxa"/>
            <w:vAlign w:val="center"/>
          </w:tcPr>
          <w:p>
            <w:pPr>
              <w:widowControl/>
              <w:jc w:val="center"/>
              <w:textAlignment w:val="center"/>
              <w:rPr>
                <w:szCs w:val="24"/>
              </w:rPr>
            </w:pPr>
            <w:r>
              <w:rPr>
                <w:kern w:val="0"/>
                <w:szCs w:val="24"/>
              </w:rPr>
              <w:t>清理厚度m</w:t>
            </w:r>
          </w:p>
        </w:tc>
        <w:tc>
          <w:tcPr>
            <w:tcW w:w="1701" w:type="dxa"/>
            <w:vAlign w:val="center"/>
          </w:tcPr>
          <w:p>
            <w:pPr>
              <w:widowControl/>
              <w:jc w:val="center"/>
              <w:textAlignment w:val="center"/>
              <w:rPr>
                <w:szCs w:val="24"/>
              </w:rPr>
            </w:pPr>
            <w:r>
              <w:rPr>
                <w:kern w:val="0"/>
                <w:szCs w:val="24"/>
              </w:rPr>
              <w:t>清理量（m</w:t>
            </w:r>
            <w:r>
              <w:rPr>
                <w:kern w:val="0"/>
                <w:szCs w:val="24"/>
                <w:vertAlign w:val="superscript"/>
              </w:rPr>
              <w:t>3</w:t>
            </w:r>
            <w:r>
              <w:rPr>
                <w:kern w:val="0"/>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jc w:val="center"/>
        </w:trPr>
        <w:tc>
          <w:tcPr>
            <w:tcW w:w="2476" w:type="dxa"/>
            <w:vAlign w:val="center"/>
          </w:tcPr>
          <w:p>
            <w:pPr>
              <w:widowControl/>
              <w:jc w:val="center"/>
              <w:textAlignment w:val="center"/>
              <w:rPr>
                <w:szCs w:val="24"/>
              </w:rPr>
            </w:pPr>
            <w:r>
              <w:rPr>
                <w:kern w:val="0"/>
                <w:szCs w:val="24"/>
              </w:rPr>
              <w:t>采场不稳定斜坡</w:t>
            </w:r>
          </w:p>
        </w:tc>
        <w:tc>
          <w:tcPr>
            <w:tcW w:w="2769" w:type="dxa"/>
            <w:vAlign w:val="center"/>
          </w:tcPr>
          <w:p>
            <w:pPr>
              <w:widowControl/>
              <w:jc w:val="center"/>
              <w:textAlignment w:val="center"/>
              <w:rPr>
                <w:szCs w:val="24"/>
              </w:rPr>
            </w:pPr>
            <w:r>
              <w:rPr>
                <w:kern w:val="0"/>
                <w:szCs w:val="24"/>
              </w:rPr>
              <w:t>800</w:t>
            </w:r>
          </w:p>
        </w:tc>
        <w:tc>
          <w:tcPr>
            <w:tcW w:w="1559" w:type="dxa"/>
            <w:vAlign w:val="center"/>
          </w:tcPr>
          <w:p>
            <w:pPr>
              <w:widowControl/>
              <w:jc w:val="center"/>
              <w:textAlignment w:val="center"/>
              <w:rPr>
                <w:szCs w:val="24"/>
              </w:rPr>
            </w:pPr>
            <w:r>
              <w:rPr>
                <w:kern w:val="0"/>
                <w:szCs w:val="24"/>
              </w:rPr>
              <w:t>0.30</w:t>
            </w:r>
          </w:p>
        </w:tc>
        <w:tc>
          <w:tcPr>
            <w:tcW w:w="1701" w:type="dxa"/>
            <w:vAlign w:val="center"/>
          </w:tcPr>
          <w:p>
            <w:pPr>
              <w:widowControl/>
              <w:jc w:val="center"/>
              <w:textAlignment w:val="center"/>
              <w:rPr>
                <w:szCs w:val="24"/>
              </w:rPr>
            </w:pPr>
            <w:r>
              <w:rPr>
                <w:kern w:val="0"/>
                <w:szCs w:val="24"/>
              </w:rPr>
              <w:t>240</w:t>
            </w:r>
          </w:p>
        </w:tc>
      </w:tr>
    </w:tbl>
    <w:p>
      <w:pPr>
        <w:pStyle w:val="28"/>
        <w:ind w:firstLine="480" w:firstLineChars="200"/>
        <w:rPr>
          <w:rFonts w:ascii="Times New Roman" w:hAnsi="Times New Roman" w:cs="Times New Roman"/>
        </w:rPr>
      </w:pPr>
      <w:r>
        <w:rPr>
          <w:rFonts w:ascii="Times New Roman" w:hAnsi="Times New Roman" w:cs="Times New Roman"/>
        </w:rPr>
        <w:t>2、旧废渣堆的治理工程</w:t>
      </w:r>
    </w:p>
    <w:p>
      <w:pPr>
        <w:pStyle w:val="28"/>
        <w:ind w:firstLine="480" w:firstLineChars="200"/>
        <w:rPr>
          <w:rFonts w:ascii="Times New Roman" w:hAnsi="Times New Roman" w:cs="Times New Roman"/>
        </w:rPr>
      </w:pPr>
      <w:r>
        <w:rPr>
          <w:rFonts w:ascii="Times New Roman" w:hAnsi="Times New Roman" w:cs="Times New Roman"/>
        </w:rPr>
        <w:t>工程范围：旧废渣堆</w:t>
      </w:r>
    </w:p>
    <w:p>
      <w:pPr>
        <w:pStyle w:val="28"/>
        <w:ind w:firstLine="480" w:firstLineChars="200"/>
        <w:rPr>
          <w:rFonts w:ascii="Times New Roman" w:hAnsi="Times New Roman" w:cs="Times New Roman"/>
        </w:rPr>
      </w:pPr>
      <w:r>
        <w:rPr>
          <w:rFonts w:ascii="Times New Roman" w:hAnsi="Times New Roman" w:cs="Times New Roman"/>
        </w:rPr>
        <w:t>技术方法：</w:t>
      </w:r>
    </w:p>
    <w:p>
      <w:pPr>
        <w:pStyle w:val="28"/>
        <w:ind w:firstLine="480" w:firstLineChars="200"/>
        <w:rPr>
          <w:rFonts w:ascii="Times New Roman" w:hAnsi="Times New Roman" w:cs="Times New Roman"/>
        </w:rPr>
      </w:pPr>
      <w:r>
        <w:rPr>
          <w:rFonts w:ascii="Times New Roman" w:hAnsi="Times New Roman" w:cs="Times New Roman"/>
        </w:rPr>
        <w:t>旧废渣堆位于G1沟谷，拟建工业场地、办公区上游，对其进行清理</w:t>
      </w:r>
      <w:r>
        <w:rPr>
          <w:rFonts w:hint="eastAsia" w:ascii="Times New Roman" w:hAnsi="Times New Roman" w:cs="Times New Roman"/>
        </w:rPr>
        <w:t>、</w:t>
      </w:r>
      <w:r>
        <w:rPr>
          <w:rFonts w:ascii="Times New Roman" w:hAnsi="Times New Roman" w:cs="Times New Roman"/>
        </w:rPr>
        <w:t>铺路</w:t>
      </w:r>
      <w:r>
        <w:rPr>
          <w:rFonts w:hint="eastAsia" w:ascii="Times New Roman" w:hAnsi="Times New Roman" w:cs="Times New Roman"/>
        </w:rPr>
        <w:t>、</w:t>
      </w:r>
      <w:r>
        <w:rPr>
          <w:rFonts w:ascii="Times New Roman" w:hAnsi="Times New Roman" w:cs="Times New Roman"/>
        </w:rPr>
        <w:t>外销</w:t>
      </w:r>
      <w:r>
        <w:rPr>
          <w:rFonts w:hint="eastAsia" w:ascii="Times New Roman" w:hAnsi="Times New Roman" w:cs="Times New Roman"/>
        </w:rPr>
        <w:t>，</w:t>
      </w:r>
      <w:r>
        <w:rPr>
          <w:rFonts w:ascii="Times New Roman" w:hAnsi="Times New Roman" w:cs="Times New Roman"/>
        </w:rPr>
        <w:t>剩余部分运至拟建废渣场地内。</w:t>
      </w:r>
    </w:p>
    <w:p>
      <w:pPr>
        <w:pStyle w:val="28"/>
        <w:ind w:firstLine="480" w:firstLineChars="200"/>
        <w:rPr>
          <w:rFonts w:ascii="Times New Roman" w:hAnsi="Times New Roman" w:cs="Times New Roman"/>
        </w:rPr>
      </w:pPr>
      <w:r>
        <w:rPr>
          <w:rFonts w:ascii="Times New Roman" w:hAnsi="Times New Roman" w:cs="Times New Roman"/>
        </w:rPr>
        <w:t>工 程 量：清理量约</w:t>
      </w:r>
      <w:r>
        <w:rPr>
          <w:rFonts w:hint="eastAsia" w:ascii="Times New Roman" w:hAnsi="Times New Roman" w:cs="Times New Roman"/>
        </w:rPr>
        <w:t>37498-18749-18251=</w:t>
      </w:r>
      <w:r>
        <w:rPr>
          <w:rFonts w:ascii="Times New Roman" w:hAnsi="Times New Roman" w:cs="Times New Roman"/>
        </w:rPr>
        <w:t>498m</w:t>
      </w:r>
      <w:r>
        <w:rPr>
          <w:rFonts w:ascii="Times New Roman" w:hAnsi="Times New Roman" w:cs="Times New Roman"/>
          <w:vertAlign w:val="superscript"/>
        </w:rPr>
        <w:t>3</w:t>
      </w:r>
      <w:r>
        <w:rPr>
          <w:rFonts w:ascii="Times New Roman" w:hAnsi="Times New Roman" w:cs="Times New Roman"/>
        </w:rPr>
        <w:t>。</w:t>
      </w:r>
    </w:p>
    <w:p>
      <w:pPr>
        <w:pStyle w:val="28"/>
        <w:ind w:firstLine="480" w:firstLineChars="200"/>
        <w:rPr>
          <w:rFonts w:ascii="Times New Roman" w:hAnsi="Times New Roman" w:cs="Times New Roman"/>
        </w:rPr>
      </w:pPr>
    </w:p>
    <w:p>
      <w:pPr>
        <w:pStyle w:val="28"/>
        <w:ind w:firstLine="480" w:firstLineChars="200"/>
        <w:rPr>
          <w:rFonts w:ascii="Times New Roman" w:hAnsi="Times New Roman" w:cs="Times New Roman"/>
        </w:rPr>
      </w:pPr>
    </w:p>
    <w:p>
      <w:pPr>
        <w:pStyle w:val="28"/>
        <w:ind w:firstLine="480" w:firstLineChars="200"/>
        <w:rPr>
          <w:rFonts w:ascii="Times New Roman" w:hAnsi="Times New Roman" w:cs="Times New Roman"/>
        </w:rPr>
      </w:pPr>
    </w:p>
    <w:p>
      <w:pPr>
        <w:pStyle w:val="28"/>
        <w:ind w:firstLine="480" w:firstLineChars="200"/>
        <w:rPr>
          <w:rFonts w:ascii="Times New Roman" w:hAnsi="Times New Roman" w:cs="Times New Roman"/>
        </w:rPr>
      </w:pPr>
    </w:p>
    <w:p>
      <w:pPr>
        <w:pStyle w:val="41"/>
        <w:numPr>
          <w:ilvl w:val="0"/>
          <w:numId w:val="0"/>
        </w:numPr>
        <w:spacing w:line="560" w:lineRule="exact"/>
        <w:ind w:firstLine="1067" w:firstLineChars="443"/>
        <w:rPr>
          <w:rFonts w:ascii="Times New Roman" w:eastAsia="宋体"/>
          <w:bCs/>
          <w:sz w:val="24"/>
          <w:szCs w:val="24"/>
        </w:rPr>
      </w:pPr>
      <w:r>
        <w:rPr>
          <w:rFonts w:ascii="Times New Roman" w:eastAsia="宋体"/>
          <w:b/>
          <w:bCs/>
          <w:sz w:val="24"/>
          <w:szCs w:val="24"/>
        </w:rPr>
        <w:t>废渣堆清理工程量估算表</w:t>
      </w:r>
      <w:r>
        <w:rPr>
          <w:rFonts w:ascii="Times New Roman" w:eastAsia="宋体"/>
          <w:bCs/>
          <w:sz w:val="24"/>
          <w:szCs w:val="24"/>
        </w:rPr>
        <w:t xml:space="preserve">    表</w:t>
      </w:r>
      <w:r>
        <w:rPr>
          <w:rFonts w:hint="eastAsia" w:ascii="Times New Roman" w:eastAsia="宋体"/>
          <w:bCs/>
          <w:sz w:val="24"/>
          <w:szCs w:val="24"/>
        </w:rPr>
        <w:t>6-2</w:t>
      </w:r>
    </w:p>
    <w:tbl>
      <w:tblPr>
        <w:tblStyle w:val="21"/>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532"/>
        <w:gridCol w:w="1701"/>
        <w:gridCol w:w="2012"/>
        <w:gridCol w:w="1559"/>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55" w:hRule="atLeast"/>
          <w:tblHeader/>
          <w:jc w:val="center"/>
        </w:trPr>
        <w:tc>
          <w:tcPr>
            <w:tcW w:w="1532" w:type="dxa"/>
            <w:vAlign w:val="center"/>
          </w:tcPr>
          <w:p>
            <w:pPr>
              <w:widowControl/>
              <w:jc w:val="center"/>
              <w:textAlignment w:val="center"/>
              <w:rPr>
                <w:szCs w:val="24"/>
              </w:rPr>
            </w:pPr>
            <w:r>
              <w:rPr>
                <w:kern w:val="0"/>
                <w:szCs w:val="24"/>
              </w:rPr>
              <w:t>废渣堆</w:t>
            </w:r>
          </w:p>
        </w:tc>
        <w:tc>
          <w:tcPr>
            <w:tcW w:w="1701" w:type="dxa"/>
            <w:vAlign w:val="center"/>
          </w:tcPr>
          <w:p>
            <w:pPr>
              <w:widowControl/>
              <w:jc w:val="center"/>
              <w:textAlignment w:val="center"/>
              <w:rPr>
                <w:kern w:val="0"/>
                <w:szCs w:val="24"/>
              </w:rPr>
            </w:pPr>
            <w:r>
              <w:rPr>
                <w:kern w:val="0"/>
                <w:szCs w:val="24"/>
              </w:rPr>
              <w:t>上顶面积</w:t>
            </w:r>
          </w:p>
          <w:p>
            <w:pPr>
              <w:widowControl/>
              <w:jc w:val="center"/>
              <w:textAlignment w:val="center"/>
              <w:rPr>
                <w:szCs w:val="24"/>
              </w:rPr>
            </w:pPr>
            <w:r>
              <w:rPr>
                <w:kern w:val="0"/>
                <w:szCs w:val="24"/>
              </w:rPr>
              <w:t>（m</w:t>
            </w:r>
            <w:r>
              <w:rPr>
                <w:kern w:val="0"/>
                <w:szCs w:val="24"/>
                <w:vertAlign w:val="superscript"/>
              </w:rPr>
              <w:t>2</w:t>
            </w:r>
            <w:r>
              <w:rPr>
                <w:kern w:val="0"/>
                <w:szCs w:val="24"/>
              </w:rPr>
              <w:t>）</w:t>
            </w:r>
          </w:p>
        </w:tc>
        <w:tc>
          <w:tcPr>
            <w:tcW w:w="2012" w:type="dxa"/>
            <w:vAlign w:val="center"/>
          </w:tcPr>
          <w:p>
            <w:pPr>
              <w:widowControl/>
              <w:jc w:val="center"/>
              <w:textAlignment w:val="center"/>
              <w:rPr>
                <w:szCs w:val="24"/>
              </w:rPr>
            </w:pPr>
            <w:r>
              <w:rPr>
                <w:szCs w:val="24"/>
              </w:rPr>
              <w:t>下底面积</w:t>
            </w:r>
          </w:p>
          <w:p>
            <w:pPr>
              <w:widowControl/>
              <w:jc w:val="center"/>
              <w:textAlignment w:val="center"/>
              <w:rPr>
                <w:szCs w:val="24"/>
              </w:rPr>
            </w:pPr>
            <w:r>
              <w:rPr>
                <w:kern w:val="0"/>
                <w:szCs w:val="24"/>
              </w:rPr>
              <w:t>（m</w:t>
            </w:r>
            <w:r>
              <w:rPr>
                <w:kern w:val="0"/>
                <w:szCs w:val="24"/>
                <w:vertAlign w:val="superscript"/>
              </w:rPr>
              <w:t>2</w:t>
            </w:r>
            <w:r>
              <w:rPr>
                <w:kern w:val="0"/>
                <w:szCs w:val="24"/>
              </w:rPr>
              <w:t>）</w:t>
            </w:r>
          </w:p>
        </w:tc>
        <w:tc>
          <w:tcPr>
            <w:tcW w:w="1559" w:type="dxa"/>
            <w:vAlign w:val="center"/>
          </w:tcPr>
          <w:p>
            <w:pPr>
              <w:widowControl/>
              <w:jc w:val="center"/>
              <w:textAlignment w:val="center"/>
              <w:rPr>
                <w:kern w:val="0"/>
                <w:szCs w:val="24"/>
              </w:rPr>
            </w:pPr>
            <w:r>
              <w:rPr>
                <w:kern w:val="0"/>
                <w:szCs w:val="24"/>
              </w:rPr>
              <w:t>清理厚度</w:t>
            </w:r>
          </w:p>
          <w:p>
            <w:pPr>
              <w:widowControl/>
              <w:jc w:val="center"/>
              <w:textAlignment w:val="center"/>
              <w:rPr>
                <w:szCs w:val="24"/>
              </w:rPr>
            </w:pPr>
            <w:r>
              <w:rPr>
                <w:kern w:val="0"/>
                <w:szCs w:val="24"/>
              </w:rPr>
              <w:t>m</w:t>
            </w:r>
          </w:p>
        </w:tc>
        <w:tc>
          <w:tcPr>
            <w:tcW w:w="1701" w:type="dxa"/>
            <w:vAlign w:val="center"/>
          </w:tcPr>
          <w:p>
            <w:pPr>
              <w:widowControl/>
              <w:jc w:val="center"/>
              <w:textAlignment w:val="center"/>
              <w:rPr>
                <w:kern w:val="0"/>
                <w:szCs w:val="24"/>
              </w:rPr>
            </w:pPr>
            <w:r>
              <w:rPr>
                <w:kern w:val="0"/>
                <w:szCs w:val="24"/>
              </w:rPr>
              <w:t>清理量</w:t>
            </w:r>
          </w:p>
          <w:p>
            <w:pPr>
              <w:widowControl/>
              <w:jc w:val="center"/>
              <w:textAlignment w:val="center"/>
              <w:rPr>
                <w:szCs w:val="24"/>
              </w:rPr>
            </w:pPr>
            <w:r>
              <w:rPr>
                <w:kern w:val="0"/>
                <w:szCs w:val="24"/>
              </w:rPr>
              <w:t>（m</w:t>
            </w:r>
            <w:r>
              <w:rPr>
                <w:kern w:val="0"/>
                <w:szCs w:val="24"/>
                <w:vertAlign w:val="superscript"/>
              </w:rPr>
              <w:t>3</w:t>
            </w:r>
            <w:r>
              <w:rPr>
                <w:kern w:val="0"/>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jc w:val="center"/>
        </w:trPr>
        <w:tc>
          <w:tcPr>
            <w:tcW w:w="1532" w:type="dxa"/>
            <w:vAlign w:val="center"/>
          </w:tcPr>
          <w:p>
            <w:pPr>
              <w:widowControl/>
              <w:jc w:val="center"/>
              <w:textAlignment w:val="center"/>
              <w:rPr>
                <w:szCs w:val="24"/>
              </w:rPr>
            </w:pPr>
            <w:r>
              <w:rPr>
                <w:kern w:val="0"/>
                <w:szCs w:val="24"/>
              </w:rPr>
              <w:t>废渣</w:t>
            </w:r>
          </w:p>
        </w:tc>
        <w:tc>
          <w:tcPr>
            <w:tcW w:w="1701" w:type="dxa"/>
            <w:vAlign w:val="center"/>
          </w:tcPr>
          <w:p>
            <w:pPr>
              <w:widowControl/>
              <w:jc w:val="center"/>
              <w:textAlignment w:val="center"/>
              <w:rPr>
                <w:szCs w:val="24"/>
              </w:rPr>
            </w:pPr>
            <w:r>
              <w:rPr>
                <w:szCs w:val="24"/>
              </w:rPr>
              <w:t>1687</w:t>
            </w:r>
          </w:p>
        </w:tc>
        <w:tc>
          <w:tcPr>
            <w:tcW w:w="2012" w:type="dxa"/>
            <w:vAlign w:val="center"/>
          </w:tcPr>
          <w:p>
            <w:pPr>
              <w:widowControl/>
              <w:jc w:val="center"/>
              <w:textAlignment w:val="center"/>
              <w:rPr>
                <w:szCs w:val="24"/>
              </w:rPr>
            </w:pPr>
            <w:r>
              <w:rPr>
                <w:szCs w:val="24"/>
              </w:rPr>
              <w:t>3413</w:t>
            </w:r>
          </w:p>
        </w:tc>
        <w:tc>
          <w:tcPr>
            <w:tcW w:w="1559" w:type="dxa"/>
            <w:vAlign w:val="center"/>
          </w:tcPr>
          <w:p>
            <w:pPr>
              <w:widowControl/>
              <w:jc w:val="center"/>
              <w:textAlignment w:val="center"/>
              <w:rPr>
                <w:szCs w:val="24"/>
              </w:rPr>
            </w:pPr>
            <w:r>
              <w:rPr>
                <w:szCs w:val="24"/>
              </w:rPr>
              <w:t>15</w:t>
            </w:r>
          </w:p>
        </w:tc>
        <w:tc>
          <w:tcPr>
            <w:tcW w:w="1701" w:type="dxa"/>
            <w:vAlign w:val="center"/>
          </w:tcPr>
          <w:p>
            <w:pPr>
              <w:widowControl/>
              <w:jc w:val="center"/>
              <w:textAlignment w:val="center"/>
              <w:rPr>
                <w:szCs w:val="24"/>
              </w:rPr>
            </w:pPr>
            <w:r>
              <w:rPr>
                <w:szCs w:val="24"/>
              </w:rPr>
              <w:t>37498</w:t>
            </w:r>
          </w:p>
        </w:tc>
      </w:tr>
    </w:tbl>
    <w:p>
      <w:pPr>
        <w:pStyle w:val="28"/>
        <w:ind w:firstLine="480" w:firstLineChars="200"/>
        <w:rPr>
          <w:rFonts w:ascii="Times New Roman" w:hAnsi="Times New Roman" w:cs="Times New Roman"/>
        </w:rPr>
      </w:pPr>
      <w:r>
        <w:rPr>
          <w:rFonts w:ascii="Times New Roman" w:hAnsi="Times New Roman" w:cs="Times New Roman"/>
        </w:rPr>
        <w:t>3、新废渣场、新旧办公生活区、新旧工业广场</w:t>
      </w:r>
    </w:p>
    <w:p>
      <w:pPr>
        <w:pStyle w:val="28"/>
        <w:ind w:firstLine="480" w:firstLineChars="200"/>
        <w:rPr>
          <w:rFonts w:ascii="Times New Roman" w:hAnsi="Times New Roman" w:cs="Times New Roman"/>
        </w:rPr>
      </w:pPr>
      <w:r>
        <w:rPr>
          <w:rFonts w:ascii="Times New Roman" w:hAnsi="Times New Roman" w:cs="Times New Roman"/>
        </w:rPr>
        <w:t>技术方法：</w:t>
      </w:r>
    </w:p>
    <w:p>
      <w:pPr>
        <w:pStyle w:val="28"/>
        <w:ind w:firstLine="480" w:firstLineChars="200"/>
        <w:rPr>
          <w:rFonts w:ascii="Times New Roman" w:hAnsi="Times New Roman" w:cs="Times New Roman"/>
        </w:rPr>
      </w:pPr>
      <w:r>
        <w:rPr>
          <w:rFonts w:hint="eastAsia" w:ascii="Times New Roman" w:hAnsi="Times New Roman" w:cs="Times New Roman"/>
        </w:rPr>
        <w:t>①</w:t>
      </w:r>
      <w:r>
        <w:rPr>
          <w:rFonts w:ascii="Times New Roman" w:hAnsi="Times New Roman" w:cs="Times New Roman"/>
        </w:rPr>
        <w:t>开挖排水沟：新建废渣场上部原剥采区的990m平台内侧，布置排水沟，将山坡汇水引离，避免相关地段被地表水浸泡冲涮。排水沟设计参数：沟底宽30cm，沟口宽110cm，沟深40cm，坡率为1：1。排水沟挖方量0.28m</w:t>
      </w:r>
      <w:r>
        <w:rPr>
          <w:rFonts w:ascii="Times New Roman" w:hAnsi="Times New Roman" w:cs="Times New Roman"/>
          <w:vertAlign w:val="superscript"/>
        </w:rPr>
        <w:t>3</w:t>
      </w:r>
      <w:r>
        <w:rPr>
          <w:rFonts w:ascii="Times New Roman" w:hAnsi="Times New Roman" w:cs="Times New Roman"/>
        </w:rPr>
        <w:t xml:space="preserve"> /m，设计排土场排水沟长度142m，工程量142×0.28=40m</w:t>
      </w:r>
      <w:r>
        <w:rPr>
          <w:rFonts w:ascii="Times New Roman" w:hAnsi="Times New Roman" w:cs="Times New Roman"/>
          <w:vertAlign w:val="superscript"/>
        </w:rPr>
        <w:t>3</w:t>
      </w:r>
      <w:r>
        <w:rPr>
          <w:rFonts w:ascii="Times New Roman" w:hAnsi="Times New Roman" w:cs="Times New Roman"/>
        </w:rPr>
        <w:t>。</w:t>
      </w:r>
    </w:p>
    <w:p>
      <w:pPr>
        <w:pStyle w:val="28"/>
        <w:ind w:firstLine="480" w:firstLineChars="200"/>
        <w:rPr>
          <w:rFonts w:ascii="Times New Roman" w:hAnsi="Times New Roman" w:cs="Times New Roman"/>
        </w:rPr>
      </w:pPr>
      <w:r>
        <w:rPr>
          <w:rFonts w:ascii="Times New Roman" w:hAnsi="Times New Roman"/>
        </w:rPr>
        <w:t>新旧工业场地、办公生活区：办公生活区拆除房屋数量为</w:t>
      </w:r>
      <w:r>
        <w:rPr>
          <w:rFonts w:hint="eastAsia" w:ascii="Times New Roman" w:hAnsi="Times New Roman"/>
        </w:rPr>
        <w:t>一</w:t>
      </w:r>
      <w:r>
        <w:rPr>
          <w:rFonts w:ascii="Times New Roman" w:hAnsi="Times New Roman"/>
        </w:rPr>
        <w:t>排6间，每间房屋长</w:t>
      </w:r>
      <w:r>
        <w:rPr>
          <w:rFonts w:hint="eastAsia" w:ascii="Times New Roman" w:hAnsi="Times New Roman"/>
        </w:rPr>
        <w:t>3</w:t>
      </w:r>
      <w:r>
        <w:rPr>
          <w:rFonts w:ascii="Times New Roman" w:hAnsi="Times New Roman"/>
        </w:rPr>
        <w:t>m、宽</w:t>
      </w:r>
      <w:r>
        <w:rPr>
          <w:rFonts w:hint="eastAsia" w:ascii="Times New Roman" w:hAnsi="Times New Roman"/>
        </w:rPr>
        <w:t>2.5</w:t>
      </w:r>
      <w:r>
        <w:rPr>
          <w:rFonts w:ascii="Times New Roman" w:hAnsi="Times New Roman"/>
        </w:rPr>
        <w:t>m、高2m，墙体厚0.3m。共需拆除墙体数量=3×6＋2=</w:t>
      </w:r>
      <w:r>
        <w:rPr>
          <w:rFonts w:hint="eastAsia" w:ascii="Times New Roman" w:hAnsi="Times New Roman"/>
        </w:rPr>
        <w:t>2</w:t>
      </w:r>
      <w:r>
        <w:rPr>
          <w:rFonts w:ascii="Times New Roman" w:hAnsi="Times New Roman"/>
        </w:rPr>
        <w:t>0。墙体拆除工程量=</w:t>
      </w:r>
      <w:r>
        <w:rPr>
          <w:rFonts w:hint="eastAsia" w:ascii="Times New Roman" w:hAnsi="Times New Roman"/>
        </w:rPr>
        <w:t>2</w:t>
      </w:r>
      <w:r>
        <w:rPr>
          <w:rFonts w:ascii="Times New Roman" w:hAnsi="Times New Roman"/>
        </w:rPr>
        <w:t>0×3×2×0.3=</w:t>
      </w:r>
      <w:r>
        <w:rPr>
          <w:rFonts w:hint="eastAsia" w:ascii="Times New Roman" w:hAnsi="Times New Roman"/>
        </w:rPr>
        <w:t>36</w:t>
      </w:r>
      <w:r>
        <w:rPr>
          <w:rFonts w:ascii="Times New Roman" w:hAnsi="Times New Roman"/>
        </w:rPr>
        <w:t>m</w:t>
      </w:r>
      <w:r>
        <w:rPr>
          <w:rFonts w:ascii="Times New Roman" w:hAnsi="Times New Roman"/>
          <w:vertAlign w:val="superscript"/>
        </w:rPr>
        <w:t>3</w:t>
      </w:r>
      <w:r>
        <w:rPr>
          <w:rFonts w:ascii="Times New Roman" w:hAnsi="Times New Roman"/>
        </w:rPr>
        <w:t>。工业广场拆除房屋数量为</w:t>
      </w:r>
      <w:r>
        <w:rPr>
          <w:rFonts w:hint="eastAsia" w:ascii="Times New Roman" w:hAnsi="Times New Roman"/>
        </w:rPr>
        <w:t>1</w:t>
      </w:r>
      <w:r>
        <w:rPr>
          <w:rFonts w:ascii="Times New Roman" w:hAnsi="Times New Roman"/>
        </w:rPr>
        <w:t>间，长1</w:t>
      </w:r>
      <w:r>
        <w:rPr>
          <w:rFonts w:hint="eastAsia" w:ascii="Times New Roman" w:hAnsi="Times New Roman"/>
        </w:rPr>
        <w:t>2</w:t>
      </w:r>
      <w:r>
        <w:rPr>
          <w:rFonts w:ascii="Times New Roman" w:hAnsi="Times New Roman"/>
        </w:rPr>
        <w:t>m、宽</w:t>
      </w:r>
      <w:r>
        <w:rPr>
          <w:rFonts w:hint="eastAsia" w:ascii="Times New Roman" w:hAnsi="Times New Roman"/>
        </w:rPr>
        <w:t>8</w:t>
      </w:r>
      <w:r>
        <w:rPr>
          <w:rFonts w:ascii="Times New Roman" w:hAnsi="Times New Roman"/>
        </w:rPr>
        <w:t>m、高</w:t>
      </w:r>
      <w:r>
        <w:rPr>
          <w:rFonts w:hint="eastAsia" w:ascii="Times New Roman" w:hAnsi="Times New Roman"/>
        </w:rPr>
        <w:t>5</w:t>
      </w:r>
      <w:r>
        <w:rPr>
          <w:rFonts w:ascii="Times New Roman" w:hAnsi="Times New Roman"/>
        </w:rPr>
        <w:t>m，墙体厚0.3m。共需拆除墙体数量</w:t>
      </w:r>
      <w:r>
        <w:rPr>
          <w:rFonts w:hint="eastAsia" w:ascii="Times New Roman" w:hAnsi="Times New Roman"/>
        </w:rPr>
        <w:t>4</w:t>
      </w:r>
      <w:r>
        <w:rPr>
          <w:rFonts w:ascii="Times New Roman" w:hAnsi="Times New Roman"/>
        </w:rPr>
        <w:t>个。其中，墙体拆除工程量=1</w:t>
      </w:r>
      <w:r>
        <w:rPr>
          <w:rFonts w:hint="eastAsia" w:ascii="Times New Roman" w:hAnsi="Times New Roman"/>
        </w:rPr>
        <w:t>2</w:t>
      </w:r>
      <w:r>
        <w:rPr>
          <w:rFonts w:ascii="Times New Roman" w:hAnsi="Times New Roman"/>
        </w:rPr>
        <w:t>×</w:t>
      </w:r>
      <w:r>
        <w:rPr>
          <w:rFonts w:hint="eastAsia" w:ascii="Times New Roman" w:hAnsi="Times New Roman"/>
        </w:rPr>
        <w:t>8</w:t>
      </w:r>
      <w:r>
        <w:rPr>
          <w:rFonts w:ascii="Times New Roman" w:hAnsi="Times New Roman"/>
        </w:rPr>
        <w:t>×0.3×</w:t>
      </w:r>
      <w:r>
        <w:rPr>
          <w:rFonts w:hint="eastAsia" w:ascii="Times New Roman" w:hAnsi="Times New Roman"/>
        </w:rPr>
        <w:t>4</w:t>
      </w:r>
      <w:r>
        <w:rPr>
          <w:rFonts w:ascii="Times New Roman" w:hAnsi="Times New Roman"/>
        </w:rPr>
        <w:t>=</w:t>
      </w:r>
      <w:r>
        <w:rPr>
          <w:rFonts w:hint="eastAsia" w:ascii="Times New Roman" w:hAnsi="Times New Roman"/>
        </w:rPr>
        <w:t>115</w:t>
      </w:r>
      <w:r>
        <w:rPr>
          <w:rFonts w:ascii="Times New Roman" w:hAnsi="Times New Roman"/>
        </w:rPr>
        <w:t>m</w:t>
      </w:r>
      <w:r>
        <w:rPr>
          <w:rFonts w:ascii="Times New Roman" w:hAnsi="Times New Roman"/>
          <w:vertAlign w:val="superscript"/>
        </w:rPr>
        <w:t>3</w:t>
      </w:r>
      <w:r>
        <w:rPr>
          <w:rFonts w:ascii="Times New Roman" w:hAnsi="Times New Roman"/>
        </w:rPr>
        <w:t>。砌体拆除总工程量=</w:t>
      </w:r>
      <w:r>
        <w:rPr>
          <w:rFonts w:hint="eastAsia" w:ascii="Times New Roman" w:hAnsi="Times New Roman"/>
        </w:rPr>
        <w:t>36</w:t>
      </w:r>
      <w:r>
        <w:rPr>
          <w:rFonts w:ascii="Times New Roman" w:hAnsi="Times New Roman"/>
        </w:rPr>
        <w:t>＋</w:t>
      </w:r>
      <w:r>
        <w:rPr>
          <w:rFonts w:hint="eastAsia" w:ascii="Times New Roman" w:hAnsi="Times New Roman"/>
        </w:rPr>
        <w:t>115</w:t>
      </w:r>
      <w:r>
        <w:rPr>
          <w:rFonts w:ascii="Times New Roman" w:hAnsi="Times New Roman"/>
        </w:rPr>
        <w:t>=</w:t>
      </w:r>
      <w:r>
        <w:rPr>
          <w:rFonts w:hint="eastAsia" w:ascii="Times New Roman" w:hAnsi="Times New Roman"/>
        </w:rPr>
        <w:t>151</w:t>
      </w:r>
      <w:r>
        <w:rPr>
          <w:rFonts w:ascii="Times New Roman" w:hAnsi="Times New Roman"/>
        </w:rPr>
        <w:t>m</w:t>
      </w:r>
      <w:r>
        <w:rPr>
          <w:rFonts w:ascii="Times New Roman" w:hAnsi="Times New Roman"/>
          <w:vertAlign w:val="superscript"/>
        </w:rPr>
        <w:t>3</w:t>
      </w:r>
      <w:r>
        <w:rPr>
          <w:rFonts w:ascii="Times New Roman" w:hAnsi="Times New Roman"/>
        </w:rPr>
        <w:t>。</w:t>
      </w:r>
      <w:r>
        <w:rPr>
          <w:rFonts w:ascii="Times New Roman" w:hAnsi="Times New Roman" w:cs="Times New Roman"/>
        </w:rPr>
        <w:t>建筑物拆除清运量=砌体拆除总工程量=</w:t>
      </w:r>
      <w:r>
        <w:rPr>
          <w:rFonts w:hint="eastAsia" w:ascii="Times New Roman" w:hAnsi="Times New Roman" w:cs="Times New Roman"/>
        </w:rPr>
        <w:t>151</w:t>
      </w:r>
      <w:r>
        <w:rPr>
          <w:rFonts w:ascii="Times New Roman" w:hAnsi="Times New Roman" w:cs="Times New Roman"/>
        </w:rPr>
        <w:t>m</w:t>
      </w:r>
      <w:r>
        <w:rPr>
          <w:rFonts w:ascii="Times New Roman" w:hAnsi="Times New Roman" w:cs="Times New Roman"/>
          <w:vertAlign w:val="superscript"/>
        </w:rPr>
        <w:t>3</w:t>
      </w:r>
      <w:r>
        <w:rPr>
          <w:rFonts w:ascii="Times New Roman" w:hAnsi="Times New Roman" w:cs="Times New Roman"/>
        </w:rPr>
        <w:t>。</w:t>
      </w:r>
    </w:p>
    <w:p>
      <w:pPr>
        <w:pStyle w:val="28"/>
        <w:ind w:firstLine="480" w:firstLineChars="200"/>
        <w:rPr>
          <w:rFonts w:ascii="Times New Roman" w:hAnsi="Times New Roman" w:cs="Times New Roman"/>
        </w:rPr>
      </w:pPr>
      <w:r>
        <w:rPr>
          <w:rFonts w:ascii="Times New Roman" w:hAnsi="Times New Roman" w:cs="Times New Roman"/>
        </w:rPr>
        <w:t>新建办公生活区、工业广场外围，布置排水沟，将山坡汇水引离，避免相关地段被地表水浸泡冲涮。排水沟设计参数：沟底宽30cm，沟口宽1</w:t>
      </w:r>
      <w:r>
        <w:rPr>
          <w:rFonts w:hint="eastAsia" w:ascii="Times New Roman" w:hAnsi="Times New Roman" w:cs="Times New Roman"/>
        </w:rPr>
        <w:t>2</w:t>
      </w:r>
      <w:r>
        <w:rPr>
          <w:rFonts w:ascii="Times New Roman" w:hAnsi="Times New Roman" w:cs="Times New Roman"/>
        </w:rPr>
        <w:t>0cm，沟深40cm，坡率为1：1。排水沟挖方量0.28m</w:t>
      </w:r>
      <w:r>
        <w:rPr>
          <w:rFonts w:ascii="Times New Roman" w:hAnsi="Times New Roman" w:cs="Times New Roman"/>
          <w:vertAlign w:val="superscript"/>
        </w:rPr>
        <w:t>3</w:t>
      </w:r>
      <w:r>
        <w:rPr>
          <w:rFonts w:ascii="Times New Roman" w:hAnsi="Times New Roman" w:cs="Times New Roman"/>
        </w:rPr>
        <w:t xml:space="preserve"> /m，设计排土场排水沟长度161m，工程量161×0.28=45m</w:t>
      </w:r>
      <w:r>
        <w:rPr>
          <w:rFonts w:ascii="Times New Roman" w:hAnsi="Times New Roman" w:cs="Times New Roman"/>
          <w:vertAlign w:val="superscript"/>
        </w:rPr>
        <w:t>3</w:t>
      </w:r>
      <w:r>
        <w:rPr>
          <w:rFonts w:ascii="Times New Roman" w:hAnsi="Times New Roman" w:cs="Times New Roman"/>
        </w:rPr>
        <w:t>。</w:t>
      </w:r>
    </w:p>
    <w:p>
      <w:pPr>
        <w:pStyle w:val="28"/>
        <w:ind w:firstLine="480" w:firstLineChars="200"/>
        <w:rPr>
          <w:rFonts w:ascii="Times New Roman" w:hAnsi="Times New Roman" w:cs="Times New Roman"/>
        </w:rPr>
      </w:pPr>
      <w:r>
        <w:rPr>
          <w:rFonts w:hint="eastAsia" w:ascii="Times New Roman" w:hAnsi="Times New Roman" w:cs="Times New Roman"/>
        </w:rPr>
        <w:t>②</w:t>
      </w:r>
      <w:r>
        <w:rPr>
          <w:rFonts w:ascii="Times New Roman" w:hAnsi="Times New Roman" w:cs="Times New Roman"/>
        </w:rPr>
        <w:t>修筑挡渣墙：废渣场下部布置挡渣墙，且开有放水孔以防止发生滑坡及泥石流，挡渣墙材料就地取材，使用矿山生产中的矿石，挡渣墙长76m，宽0.8米，高1.5米，下部基础开挖深0.4米，结构为浆砌块石，修筑挡渣墙工作量=76m×0.8m×（1.5+0.4）m=116m</w:t>
      </w:r>
      <w:r>
        <w:rPr>
          <w:rFonts w:ascii="Times New Roman" w:hAnsi="Times New Roman" w:cs="Times New Roman"/>
          <w:vertAlign w:val="superscript"/>
        </w:rPr>
        <w:t>3</w:t>
      </w:r>
      <w:r>
        <w:rPr>
          <w:rFonts w:ascii="Times New Roman" w:hAnsi="Times New Roman" w:cs="Times New Roman"/>
        </w:rPr>
        <w:t>。</w:t>
      </w:r>
    </w:p>
    <w:p>
      <w:pPr>
        <w:pStyle w:val="28"/>
        <w:ind w:firstLine="480" w:firstLineChars="200"/>
        <w:rPr>
          <w:rFonts w:ascii="Times New Roman" w:hAnsi="Times New Roman" w:cs="Times New Roman"/>
        </w:rPr>
      </w:pPr>
      <w:r>
        <w:rPr>
          <w:rFonts w:hint="eastAsia" w:ascii="Times New Roman" w:hAnsi="Times New Roman" w:cs="Times New Roman"/>
        </w:rPr>
        <w:t>③</w:t>
      </w:r>
      <w:r>
        <w:rPr>
          <w:rFonts w:ascii="Times New Roman" w:hAnsi="Times New Roman" w:cs="Times New Roman"/>
        </w:rPr>
        <w:t>修建挡洪墙：新办公生活区、新工业广场外围修建挡洪墙，以防淲阳河发生洪水、泥石流等灾害，挡洪墙材料就地取材，使用矿山生产中的矿石，挡洪墙长1</w:t>
      </w:r>
      <w:r>
        <w:rPr>
          <w:rFonts w:hint="eastAsia" w:ascii="Times New Roman" w:hAnsi="Times New Roman" w:cs="Times New Roman"/>
        </w:rPr>
        <w:t>45</w:t>
      </w:r>
      <w:r>
        <w:rPr>
          <w:rFonts w:ascii="Times New Roman" w:hAnsi="Times New Roman" w:cs="Times New Roman"/>
        </w:rPr>
        <w:t>m，宽0.</w:t>
      </w:r>
      <w:r>
        <w:rPr>
          <w:rFonts w:hint="eastAsia" w:ascii="Times New Roman" w:hAnsi="Times New Roman" w:cs="Times New Roman"/>
        </w:rPr>
        <w:t>5</w:t>
      </w:r>
      <w:r>
        <w:rPr>
          <w:rFonts w:ascii="Times New Roman" w:hAnsi="Times New Roman" w:cs="Times New Roman"/>
        </w:rPr>
        <w:t>米，高1米，下部基础开挖深0.4米，结构为浆砌块石，修筑挡渣墙工作量=1</w:t>
      </w:r>
      <w:r>
        <w:rPr>
          <w:rFonts w:hint="eastAsia" w:ascii="Times New Roman" w:hAnsi="Times New Roman" w:cs="Times New Roman"/>
        </w:rPr>
        <w:t>45</w:t>
      </w:r>
      <w:r>
        <w:rPr>
          <w:rFonts w:ascii="Times New Roman" w:hAnsi="Times New Roman" w:cs="Times New Roman"/>
        </w:rPr>
        <w:t>m×0.</w:t>
      </w:r>
      <w:r>
        <w:rPr>
          <w:rFonts w:hint="eastAsia" w:ascii="Times New Roman" w:hAnsi="Times New Roman" w:cs="Times New Roman"/>
        </w:rPr>
        <w:t>5</w:t>
      </w:r>
      <w:r>
        <w:rPr>
          <w:rFonts w:ascii="Times New Roman" w:hAnsi="Times New Roman" w:cs="Times New Roman"/>
        </w:rPr>
        <w:t>m×（1+0.</w:t>
      </w:r>
      <w:r>
        <w:rPr>
          <w:rFonts w:hint="eastAsia" w:ascii="Times New Roman" w:hAnsi="Times New Roman" w:cs="Times New Roman"/>
        </w:rPr>
        <w:t>4</w:t>
      </w:r>
      <w:r>
        <w:rPr>
          <w:rFonts w:ascii="Times New Roman" w:hAnsi="Times New Roman" w:cs="Times New Roman"/>
        </w:rPr>
        <w:t>）m=</w:t>
      </w:r>
      <w:r>
        <w:rPr>
          <w:rFonts w:hint="eastAsia" w:ascii="Times New Roman" w:hAnsi="Times New Roman" w:cs="Times New Roman"/>
        </w:rPr>
        <w:t>138</w:t>
      </w:r>
      <w:r>
        <w:rPr>
          <w:rFonts w:ascii="Times New Roman" w:hAnsi="Times New Roman" w:cs="Times New Roman"/>
        </w:rPr>
        <w:t>m</w:t>
      </w:r>
      <w:r>
        <w:rPr>
          <w:rFonts w:ascii="Times New Roman" w:hAnsi="Times New Roman" w:cs="Times New Roman"/>
          <w:vertAlign w:val="superscript"/>
        </w:rPr>
        <w:t>3</w:t>
      </w:r>
      <w:r>
        <w:rPr>
          <w:rFonts w:ascii="Times New Roman" w:hAnsi="Times New Roman" w:cs="Times New Roman"/>
        </w:rPr>
        <w:t>。</w:t>
      </w:r>
    </w:p>
    <w:p>
      <w:pPr>
        <w:pStyle w:val="28"/>
        <w:ind w:firstLine="480" w:firstLineChars="200"/>
        <w:rPr>
          <w:rFonts w:ascii="Times New Roman" w:hAnsi="Times New Roman" w:cs="Times New Roman"/>
        </w:rPr>
      </w:pPr>
      <w:r>
        <w:rPr>
          <w:rFonts w:ascii="Times New Roman" w:hAnsi="Times New Roman" w:cs="Times New Roman"/>
        </w:rPr>
        <w:t>工 程 量：开挖排水沟工作量85m</w:t>
      </w:r>
      <w:r>
        <w:rPr>
          <w:rFonts w:ascii="Times New Roman" w:hAnsi="Times New Roman" w:cs="Times New Roman"/>
          <w:vertAlign w:val="superscript"/>
        </w:rPr>
        <w:t>3</w:t>
      </w:r>
      <w:r>
        <w:rPr>
          <w:rFonts w:ascii="Times New Roman" w:hAnsi="Times New Roman" w:cs="Times New Roman"/>
        </w:rPr>
        <w:t>，修筑挡渣墙工作量约116m</w:t>
      </w:r>
      <w:r>
        <w:rPr>
          <w:rFonts w:ascii="Times New Roman" w:hAnsi="Times New Roman" w:cs="Times New Roman"/>
          <w:vertAlign w:val="superscript"/>
        </w:rPr>
        <w:t>3</w:t>
      </w:r>
      <w:r>
        <w:rPr>
          <w:rFonts w:ascii="Times New Roman" w:hAnsi="Times New Roman" w:cs="Times New Roman"/>
        </w:rPr>
        <w:t>，修筑挡洪墙工作量约</w:t>
      </w:r>
      <w:r>
        <w:rPr>
          <w:rFonts w:hint="eastAsia" w:ascii="Times New Roman" w:hAnsi="Times New Roman" w:cs="Times New Roman"/>
        </w:rPr>
        <w:t>138</w:t>
      </w:r>
      <w:r>
        <w:rPr>
          <w:rFonts w:ascii="Times New Roman" w:hAnsi="Times New Roman" w:cs="Times New Roman"/>
        </w:rPr>
        <w:t>m</w:t>
      </w:r>
      <w:r>
        <w:rPr>
          <w:rFonts w:ascii="Times New Roman" w:hAnsi="Times New Roman" w:cs="Times New Roman"/>
          <w:vertAlign w:val="superscript"/>
        </w:rPr>
        <w:t>3</w:t>
      </w:r>
      <w:r>
        <w:rPr>
          <w:rFonts w:ascii="Times New Roman" w:hAnsi="Times New Roman" w:cs="Times New Roman"/>
        </w:rPr>
        <w:t>。</w:t>
      </w:r>
    </w:p>
    <w:p>
      <w:pPr>
        <w:pStyle w:val="28"/>
        <w:ind w:firstLine="480" w:firstLineChars="200"/>
        <w:rPr>
          <w:rFonts w:ascii="Times New Roman" w:hAnsi="Times New Roman" w:cs="Times New Roman"/>
        </w:rPr>
      </w:pPr>
      <w:r>
        <w:rPr>
          <w:rFonts w:hint="eastAsia" w:ascii="Times New Roman" w:hAnsi="Times New Roman" w:cs="Times New Roman"/>
        </w:rPr>
        <w:t>4、土地复垦工程</w:t>
      </w:r>
    </w:p>
    <w:p>
      <w:pPr>
        <w:pStyle w:val="28"/>
        <w:ind w:firstLine="480" w:firstLineChars="200"/>
        <w:rPr>
          <w:rFonts w:ascii="Times New Roman" w:hAnsi="Times New Roman" w:cs="Times New Roman"/>
        </w:rPr>
      </w:pPr>
      <w:r>
        <w:rPr>
          <w:rFonts w:hint="eastAsia" w:ascii="Times New Roman" w:hAnsi="Times New Roman" w:cs="Times New Roman"/>
        </w:rPr>
        <w:t>露天采场复垦设计</w:t>
      </w:r>
    </w:p>
    <w:p>
      <w:pPr>
        <w:pStyle w:val="28"/>
        <w:ind w:firstLine="480" w:firstLineChars="200"/>
        <w:rPr>
          <w:rFonts w:ascii="Times New Roman" w:hAnsi="Times New Roman" w:cs="Times New Roman"/>
        </w:rPr>
      </w:pPr>
      <w:r>
        <w:rPr>
          <w:rFonts w:hint="eastAsia" w:ascii="Times New Roman" w:hAnsi="Times New Roman" w:cs="Times New Roman"/>
        </w:rPr>
        <w:t>1）露天采场基底及平台复垦工程设计</w:t>
      </w:r>
    </w:p>
    <w:p>
      <w:pPr>
        <w:pStyle w:val="28"/>
        <w:ind w:firstLine="480" w:firstLineChars="200"/>
        <w:rPr>
          <w:rFonts w:ascii="Times New Roman" w:hAnsi="Times New Roman" w:cs="Times New Roman"/>
        </w:rPr>
      </w:pPr>
      <w:r>
        <w:rPr>
          <w:rFonts w:hint="eastAsia" w:ascii="Times New Roman" w:hAnsi="Times New Roman" w:cs="Times New Roman"/>
        </w:rPr>
        <w:t>（1）土壤重构工程</w:t>
      </w:r>
    </w:p>
    <w:p>
      <w:pPr>
        <w:pStyle w:val="28"/>
        <w:ind w:firstLine="480" w:firstLineChars="200"/>
        <w:rPr>
          <w:rFonts w:ascii="Times New Roman" w:hAnsi="Times New Roman" w:cs="Times New Roman"/>
        </w:rPr>
      </w:pPr>
      <w:r>
        <w:rPr>
          <w:rFonts w:hint="eastAsia" w:ascii="Times New Roman" w:hAnsi="Times New Roman" w:cs="Times New Roman"/>
        </w:rPr>
        <w:t>①土壤覆土工程设计</w:t>
      </w:r>
    </w:p>
    <w:p>
      <w:pPr>
        <w:pStyle w:val="28"/>
        <w:ind w:firstLine="480" w:firstLineChars="200"/>
        <w:rPr>
          <w:rFonts w:ascii="Times New Roman" w:hAnsi="Times New Roman" w:cs="Times New Roman"/>
        </w:rPr>
      </w:pPr>
      <w:r>
        <w:rPr>
          <w:rFonts w:hint="eastAsia" w:ascii="Times New Roman" w:hAnsi="Times New Roman" w:cs="Times New Roman"/>
        </w:rPr>
        <w:t>根据复垦方向和复垦标准，采场基底及平台复垦为其他草地，覆土自然沉实厚度0.3m，覆土采用机械覆土，土源来自外购土。</w:t>
      </w:r>
    </w:p>
    <w:p>
      <w:pPr>
        <w:pStyle w:val="28"/>
        <w:ind w:firstLine="480" w:firstLineChars="200"/>
        <w:rPr>
          <w:rFonts w:ascii="Times New Roman" w:hAnsi="Times New Roman" w:cs="Times New Roman"/>
        </w:rPr>
      </w:pPr>
      <w:r>
        <w:rPr>
          <w:rFonts w:hint="eastAsia" w:ascii="Times New Roman" w:hAnsi="Times New Roman" w:cs="Times New Roman"/>
        </w:rPr>
        <w:t>②平整工程设计</w:t>
      </w:r>
    </w:p>
    <w:p>
      <w:pPr>
        <w:pStyle w:val="28"/>
        <w:ind w:firstLine="480" w:firstLineChars="200"/>
        <w:rPr>
          <w:rFonts w:ascii="Times New Roman" w:hAnsi="Times New Roman" w:cs="Times New Roman"/>
        </w:rPr>
      </w:pPr>
      <w:r>
        <w:rPr>
          <w:rFonts w:hint="eastAsia" w:ascii="Times New Roman" w:hAnsi="Times New Roman" w:cs="Times New Roman"/>
        </w:rPr>
        <w:t>土地平整工程：露天采场基底及平台均采取机械平土法，主要依靠机械进行土地平整。在具体操作时，把设计地面线以上的土一次挖去，起高垫低，使土地表面在满足设计坡度的条件下尽可能达到较理想的平面状态， 按照0.15 m</w:t>
      </w:r>
      <w:r>
        <w:rPr>
          <w:rFonts w:hint="eastAsia" w:ascii="Times New Roman" w:hAnsi="Times New Roman" w:cs="Times New Roman"/>
          <w:vertAlign w:val="superscript"/>
        </w:rPr>
        <w:t>3</w:t>
      </w:r>
      <w:r>
        <w:rPr>
          <w:rFonts w:hint="eastAsia" w:ascii="Times New Roman" w:hAnsi="Times New Roman" w:cs="Times New Roman"/>
        </w:rPr>
        <w:t>/m</w:t>
      </w:r>
      <w:r>
        <w:rPr>
          <w:rFonts w:hint="eastAsia" w:ascii="Times New Roman" w:hAnsi="Times New Roman" w:cs="Times New Roman"/>
          <w:vertAlign w:val="superscript"/>
        </w:rPr>
        <w:t>2</w:t>
      </w:r>
      <w:r>
        <w:rPr>
          <w:rFonts w:hint="eastAsia" w:ascii="Times New Roman" w:hAnsi="Times New Roman" w:cs="Times New Roman"/>
        </w:rPr>
        <w:t>的标准进行平整。</w:t>
      </w:r>
    </w:p>
    <w:p>
      <w:pPr>
        <w:pStyle w:val="28"/>
        <w:ind w:firstLine="480" w:firstLineChars="200"/>
        <w:rPr>
          <w:rFonts w:ascii="Times New Roman" w:hAnsi="Times New Roman" w:cs="Times New Roman"/>
        </w:rPr>
      </w:pPr>
      <w:r>
        <w:rPr>
          <w:rFonts w:hint="eastAsia" w:ascii="Times New Roman" w:hAnsi="Times New Roman" w:cs="Times New Roman"/>
        </w:rPr>
        <w:t>（2）植被重建工程</w:t>
      </w:r>
    </w:p>
    <w:p>
      <w:pPr>
        <w:pStyle w:val="28"/>
        <w:ind w:firstLine="480" w:firstLineChars="200"/>
        <w:rPr>
          <w:rFonts w:ascii="Times New Roman" w:hAnsi="Times New Roman" w:cs="Times New Roman"/>
        </w:rPr>
      </w:pPr>
      <w:r>
        <w:rPr>
          <w:rFonts w:hint="eastAsia" w:ascii="Times New Roman" w:hAnsi="Times New Roman" w:cs="Times New Roman"/>
        </w:rPr>
        <w:t>采场平台覆土后为改良土壤撒播绿肥，标准450kg/ hm</w:t>
      </w:r>
      <w:r>
        <w:rPr>
          <w:rFonts w:hint="eastAsia" w:ascii="Times New Roman" w:hAnsi="Times New Roman" w:cs="Times New Roman"/>
          <w:vertAlign w:val="superscript"/>
        </w:rPr>
        <w:t>2</w:t>
      </w:r>
      <w:r>
        <w:rPr>
          <w:rFonts w:hint="eastAsia" w:ascii="Times New Roman" w:hAnsi="Times New Roman" w:cs="Times New Roman"/>
        </w:rPr>
        <w:t>，然后进行撒播紫花苜蓿，种植密度为30kg/hm</w:t>
      </w:r>
      <w:r>
        <w:rPr>
          <w:rFonts w:hint="eastAsia" w:ascii="Times New Roman" w:hAnsi="Times New Roman" w:cs="Times New Roman"/>
          <w:vertAlign w:val="superscript"/>
        </w:rPr>
        <w:t>2</w:t>
      </w:r>
      <w:r>
        <w:rPr>
          <w:rFonts w:hint="eastAsia" w:ascii="Times New Roman" w:hAnsi="Times New Roman" w:cs="Times New Roman"/>
        </w:rPr>
        <w:t>。</w:t>
      </w:r>
    </w:p>
    <w:tbl>
      <w:tblPr>
        <w:tblStyle w:val="21"/>
        <w:tblW w:w="0" w:type="auto"/>
        <w:jc w:val="center"/>
        <w:tblLayout w:type="fixed"/>
        <w:tblCellMar>
          <w:top w:w="15" w:type="dxa"/>
          <w:left w:w="15" w:type="dxa"/>
          <w:bottom w:w="15" w:type="dxa"/>
          <w:right w:w="15" w:type="dxa"/>
        </w:tblCellMar>
      </w:tblPr>
      <w:tblGrid>
        <w:gridCol w:w="2014"/>
        <w:gridCol w:w="1701"/>
        <w:gridCol w:w="1985"/>
        <w:gridCol w:w="2636"/>
      </w:tblGrid>
      <w:tr>
        <w:tblPrEx>
          <w:tblCellMar>
            <w:top w:w="15" w:type="dxa"/>
            <w:left w:w="15" w:type="dxa"/>
            <w:bottom w:w="15" w:type="dxa"/>
            <w:right w:w="15" w:type="dxa"/>
          </w:tblCellMar>
        </w:tblPrEx>
        <w:trPr>
          <w:trHeight w:val="300" w:hRule="atLeast"/>
          <w:jc w:val="center"/>
        </w:trPr>
        <w:tc>
          <w:tcPr>
            <w:tcW w:w="8336" w:type="dxa"/>
            <w:gridSpan w:val="4"/>
            <w:tcBorders>
              <w:bottom w:val="single" w:color="auto" w:sz="4" w:space="0"/>
            </w:tcBorders>
            <w:vAlign w:val="center"/>
          </w:tcPr>
          <w:p>
            <w:pPr>
              <w:widowControl/>
              <w:spacing w:line="240" w:lineRule="atLeast"/>
              <w:jc w:val="center"/>
              <w:textAlignment w:val="center"/>
              <w:rPr>
                <w:color w:val="000000"/>
                <w:szCs w:val="24"/>
              </w:rPr>
            </w:pPr>
            <w:r>
              <w:rPr>
                <w:b/>
                <w:bCs/>
                <w:color w:val="000000"/>
                <w:kern w:val="0"/>
                <w:szCs w:val="24"/>
              </w:rPr>
              <w:t>露天采场基底及平台复垦情况表表</w:t>
            </w:r>
            <w:r>
              <w:rPr>
                <w:rFonts w:hint="eastAsia"/>
                <w:b/>
                <w:bCs/>
                <w:color w:val="000000"/>
                <w:kern w:val="0"/>
                <w:szCs w:val="24"/>
              </w:rPr>
              <w:t>6-3</w:t>
            </w:r>
          </w:p>
        </w:tc>
      </w:tr>
      <w:tr>
        <w:tblPrEx>
          <w:tblCellMar>
            <w:top w:w="15" w:type="dxa"/>
            <w:left w:w="15" w:type="dxa"/>
            <w:bottom w:w="15" w:type="dxa"/>
            <w:right w:w="15" w:type="dxa"/>
          </w:tblCellMar>
        </w:tblPrEx>
        <w:trPr>
          <w:trHeight w:val="340" w:hRule="atLeast"/>
          <w:jc w:val="center"/>
        </w:trPr>
        <w:tc>
          <w:tcPr>
            <w:tcW w:w="2014"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color w:val="000000"/>
                <w:kern w:val="0"/>
                <w:szCs w:val="24"/>
              </w:rPr>
              <w:t>复垦单元</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color w:val="000000"/>
                <w:kern w:val="0"/>
                <w:szCs w:val="24"/>
              </w:rPr>
              <w:t>复垦面积（hm</w:t>
            </w:r>
            <w:r>
              <w:rPr>
                <w:color w:val="000000"/>
                <w:kern w:val="0"/>
                <w:szCs w:val="24"/>
                <w:vertAlign w:val="superscript"/>
              </w:rPr>
              <w:t>2</w:t>
            </w:r>
            <w:r>
              <w:rPr>
                <w:color w:val="000000"/>
                <w:kern w:val="0"/>
                <w:szCs w:val="24"/>
              </w:rPr>
              <w:t>）</w:t>
            </w:r>
          </w:p>
        </w:tc>
        <w:tc>
          <w:tcPr>
            <w:tcW w:w="1985"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color w:val="000000"/>
                <w:kern w:val="0"/>
                <w:szCs w:val="24"/>
              </w:rPr>
              <w:t>复垦方向</w:t>
            </w:r>
          </w:p>
        </w:tc>
        <w:tc>
          <w:tcPr>
            <w:tcW w:w="2636"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color w:val="000000"/>
                <w:kern w:val="0"/>
                <w:szCs w:val="24"/>
              </w:rPr>
              <w:t>复垦工程形式</w:t>
            </w:r>
          </w:p>
        </w:tc>
      </w:tr>
      <w:tr>
        <w:tblPrEx>
          <w:tblCellMar>
            <w:top w:w="15" w:type="dxa"/>
            <w:left w:w="15" w:type="dxa"/>
            <w:bottom w:w="15" w:type="dxa"/>
            <w:right w:w="15" w:type="dxa"/>
          </w:tblCellMar>
        </w:tblPrEx>
        <w:trPr>
          <w:trHeight w:val="340" w:hRule="atLeast"/>
          <w:jc w:val="center"/>
        </w:trPr>
        <w:tc>
          <w:tcPr>
            <w:tcW w:w="2014"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color w:val="000000"/>
                <w:kern w:val="0"/>
                <w:szCs w:val="24"/>
              </w:rPr>
              <w:t>露天采场基底及平台</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rFonts w:hint="eastAsia"/>
                <w:color w:val="000000"/>
                <w:szCs w:val="24"/>
              </w:rPr>
              <w:t>1.0126</w:t>
            </w:r>
          </w:p>
        </w:tc>
        <w:tc>
          <w:tcPr>
            <w:tcW w:w="1985"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rFonts w:hint="eastAsia"/>
                <w:color w:val="000000"/>
                <w:kern w:val="0"/>
                <w:szCs w:val="24"/>
              </w:rPr>
              <w:t>其他</w:t>
            </w:r>
            <w:r>
              <w:rPr>
                <w:color w:val="000000"/>
                <w:kern w:val="0"/>
                <w:szCs w:val="24"/>
              </w:rPr>
              <w:t>草地</w:t>
            </w:r>
          </w:p>
        </w:tc>
        <w:tc>
          <w:tcPr>
            <w:tcW w:w="2636"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color w:val="000000"/>
                <w:kern w:val="0"/>
                <w:szCs w:val="24"/>
              </w:rPr>
              <w:t>撒播紫花苜蓿</w:t>
            </w:r>
          </w:p>
        </w:tc>
      </w:tr>
    </w:tbl>
    <w:p>
      <w:pPr>
        <w:pStyle w:val="28"/>
        <w:ind w:firstLine="480" w:firstLineChars="200"/>
        <w:rPr>
          <w:rFonts w:ascii="Times New Roman" w:hAnsi="Times New Roman" w:cs="Times New Roman"/>
        </w:rPr>
      </w:pPr>
      <w:r>
        <w:rPr>
          <w:rFonts w:hint="eastAsia" w:ascii="Times New Roman" w:hAnsi="Times New Roman" w:cs="Times New Roman"/>
        </w:rPr>
        <w:t>露天采场边坡复垦工程设计</w:t>
      </w:r>
    </w:p>
    <w:p>
      <w:pPr>
        <w:pStyle w:val="28"/>
        <w:ind w:firstLine="480" w:firstLineChars="200"/>
        <w:rPr>
          <w:rFonts w:ascii="Times New Roman" w:hAnsi="Times New Roman" w:cs="Times New Roman"/>
        </w:rPr>
      </w:pPr>
      <w:r>
        <w:rPr>
          <w:rFonts w:hint="eastAsia" w:ascii="Times New Roman" w:hAnsi="Times New Roman" w:cs="Times New Roman"/>
        </w:rPr>
        <w:t>由于采场终了边坡坡度达65°，且地表均为石质，不宜在边坡上覆土，无法在这样的边坡上直接植树种草，所以设计采用在终了平台靠近终了边坡50cm的地方选木质藤本植被爬山虎进行栽种，遮盖终了边坡，达到绿化的目标。爬山虎耐贫瘠，对土壤要求不高，适应气候性较强，抗寒、耐热、耐旱，能在摄氏零下23℃至零上50℃的环境中生存，生长旺盛、迅速，短期内就能达到良好的绿化、美化效果，一年生苗可达1.5～2.0m，多年生的藤茎可达20～50m，具有很强的吸附和攀缘能力，是固土、护坡和绿化、美化环境的优良植物。本方案爬山虎种植密度为株间距0.3m，种植两行。</w:t>
      </w:r>
    </w:p>
    <w:tbl>
      <w:tblPr>
        <w:tblStyle w:val="21"/>
        <w:tblW w:w="0" w:type="auto"/>
        <w:jc w:val="center"/>
        <w:tblLayout w:type="fixed"/>
        <w:tblCellMar>
          <w:top w:w="15" w:type="dxa"/>
          <w:left w:w="15" w:type="dxa"/>
          <w:bottom w:w="15" w:type="dxa"/>
          <w:right w:w="15" w:type="dxa"/>
        </w:tblCellMar>
      </w:tblPr>
      <w:tblGrid>
        <w:gridCol w:w="2014"/>
        <w:gridCol w:w="1701"/>
        <w:gridCol w:w="1985"/>
        <w:gridCol w:w="2636"/>
      </w:tblGrid>
      <w:tr>
        <w:tblPrEx>
          <w:tblCellMar>
            <w:top w:w="15" w:type="dxa"/>
            <w:left w:w="15" w:type="dxa"/>
            <w:bottom w:w="15" w:type="dxa"/>
            <w:right w:w="15" w:type="dxa"/>
          </w:tblCellMar>
        </w:tblPrEx>
        <w:trPr>
          <w:trHeight w:val="300" w:hRule="atLeast"/>
          <w:jc w:val="center"/>
        </w:trPr>
        <w:tc>
          <w:tcPr>
            <w:tcW w:w="8336" w:type="dxa"/>
            <w:gridSpan w:val="4"/>
            <w:tcBorders>
              <w:bottom w:val="single" w:color="auto" w:sz="4" w:space="0"/>
            </w:tcBorders>
            <w:vAlign w:val="center"/>
          </w:tcPr>
          <w:p>
            <w:pPr>
              <w:widowControl/>
              <w:spacing w:line="240" w:lineRule="atLeast"/>
              <w:jc w:val="center"/>
              <w:textAlignment w:val="center"/>
              <w:rPr>
                <w:color w:val="000000"/>
                <w:szCs w:val="24"/>
              </w:rPr>
            </w:pPr>
            <w:r>
              <w:rPr>
                <w:b/>
                <w:bCs/>
                <w:color w:val="000000"/>
                <w:kern w:val="0"/>
                <w:szCs w:val="24"/>
              </w:rPr>
              <w:t>露天采场</w:t>
            </w:r>
            <w:r>
              <w:rPr>
                <w:rFonts w:hint="eastAsia"/>
                <w:b/>
                <w:bCs/>
                <w:color w:val="000000"/>
                <w:kern w:val="0"/>
                <w:szCs w:val="24"/>
              </w:rPr>
              <w:t>边坡</w:t>
            </w:r>
            <w:r>
              <w:rPr>
                <w:b/>
                <w:bCs/>
                <w:color w:val="000000"/>
                <w:kern w:val="0"/>
                <w:szCs w:val="24"/>
              </w:rPr>
              <w:t>复垦情况表表</w:t>
            </w:r>
            <w:r>
              <w:rPr>
                <w:rFonts w:hint="eastAsia"/>
                <w:b/>
                <w:bCs/>
                <w:color w:val="000000"/>
                <w:kern w:val="0"/>
                <w:szCs w:val="24"/>
              </w:rPr>
              <w:t>6-4</w:t>
            </w:r>
          </w:p>
        </w:tc>
      </w:tr>
      <w:tr>
        <w:tblPrEx>
          <w:tblCellMar>
            <w:top w:w="15" w:type="dxa"/>
            <w:left w:w="15" w:type="dxa"/>
            <w:bottom w:w="15" w:type="dxa"/>
            <w:right w:w="15" w:type="dxa"/>
          </w:tblCellMar>
        </w:tblPrEx>
        <w:trPr>
          <w:trHeight w:val="340" w:hRule="atLeast"/>
          <w:jc w:val="center"/>
        </w:trPr>
        <w:tc>
          <w:tcPr>
            <w:tcW w:w="2014"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color w:val="000000"/>
                <w:kern w:val="0"/>
                <w:szCs w:val="24"/>
              </w:rPr>
              <w:t>复垦单元</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color w:val="000000"/>
                <w:kern w:val="0"/>
                <w:szCs w:val="24"/>
              </w:rPr>
              <w:t>复垦面积（hm</w:t>
            </w:r>
            <w:r>
              <w:rPr>
                <w:color w:val="000000"/>
                <w:kern w:val="0"/>
                <w:szCs w:val="24"/>
                <w:vertAlign w:val="superscript"/>
              </w:rPr>
              <w:t>2</w:t>
            </w:r>
            <w:r>
              <w:rPr>
                <w:color w:val="000000"/>
                <w:kern w:val="0"/>
                <w:szCs w:val="24"/>
              </w:rPr>
              <w:t>）</w:t>
            </w:r>
          </w:p>
        </w:tc>
        <w:tc>
          <w:tcPr>
            <w:tcW w:w="1985"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color w:val="000000"/>
                <w:kern w:val="0"/>
                <w:szCs w:val="24"/>
              </w:rPr>
              <w:t>复垦方向</w:t>
            </w:r>
          </w:p>
        </w:tc>
        <w:tc>
          <w:tcPr>
            <w:tcW w:w="2636"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color w:val="000000"/>
                <w:kern w:val="0"/>
                <w:szCs w:val="24"/>
              </w:rPr>
              <w:t>复垦工程形式</w:t>
            </w:r>
          </w:p>
        </w:tc>
      </w:tr>
      <w:tr>
        <w:tblPrEx>
          <w:tblCellMar>
            <w:top w:w="15" w:type="dxa"/>
            <w:left w:w="15" w:type="dxa"/>
            <w:bottom w:w="15" w:type="dxa"/>
            <w:right w:w="15" w:type="dxa"/>
          </w:tblCellMar>
        </w:tblPrEx>
        <w:trPr>
          <w:trHeight w:val="340" w:hRule="atLeast"/>
          <w:jc w:val="center"/>
        </w:trPr>
        <w:tc>
          <w:tcPr>
            <w:tcW w:w="2014"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color w:val="000000"/>
                <w:kern w:val="0"/>
                <w:szCs w:val="24"/>
              </w:rPr>
              <w:t>露天采场</w:t>
            </w:r>
            <w:r>
              <w:rPr>
                <w:rFonts w:hint="eastAsia"/>
                <w:color w:val="000000"/>
                <w:kern w:val="0"/>
                <w:szCs w:val="24"/>
              </w:rPr>
              <w:t>边坡</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rFonts w:hint="eastAsia"/>
                <w:color w:val="000000"/>
                <w:szCs w:val="24"/>
              </w:rPr>
              <w:t>1.6609</w:t>
            </w:r>
          </w:p>
        </w:tc>
        <w:tc>
          <w:tcPr>
            <w:tcW w:w="1985"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rFonts w:hint="eastAsia"/>
                <w:color w:val="000000"/>
                <w:kern w:val="0"/>
                <w:szCs w:val="24"/>
              </w:rPr>
              <w:t>灌木</w:t>
            </w:r>
            <w:r>
              <w:rPr>
                <w:color w:val="000000"/>
                <w:kern w:val="0"/>
                <w:szCs w:val="24"/>
              </w:rPr>
              <w:t>林地</w:t>
            </w:r>
          </w:p>
        </w:tc>
        <w:tc>
          <w:tcPr>
            <w:tcW w:w="2636"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color w:val="000000"/>
                <w:kern w:val="0"/>
                <w:szCs w:val="24"/>
              </w:rPr>
              <w:t>种植爬山虎</w:t>
            </w:r>
          </w:p>
        </w:tc>
      </w:tr>
    </w:tbl>
    <w:p>
      <w:pPr>
        <w:pStyle w:val="28"/>
        <w:ind w:firstLine="480" w:firstLineChars="200"/>
        <w:rPr>
          <w:rFonts w:ascii="Times New Roman" w:hAnsi="Times New Roman"/>
        </w:rPr>
      </w:pPr>
      <w:r>
        <w:rPr>
          <w:rFonts w:hint="eastAsia" w:ascii="Times New Roman" w:hAnsi="Times New Roman"/>
        </w:rPr>
        <w:t>露天</w:t>
      </w:r>
      <w:r>
        <w:rPr>
          <w:rFonts w:ascii="Times New Roman" w:hAnsi="Times New Roman"/>
        </w:rPr>
        <w:t>采场</w:t>
      </w:r>
      <w:r>
        <w:rPr>
          <w:rFonts w:hint="eastAsia" w:ascii="Times New Roman" w:hAnsi="Times New Roman"/>
        </w:rPr>
        <w:t>边坡</w:t>
      </w:r>
      <w:r>
        <w:rPr>
          <w:rFonts w:ascii="Times New Roman" w:hAnsi="Times New Roman"/>
        </w:rPr>
        <w:t>复垦工程设计</w:t>
      </w:r>
    </w:p>
    <w:p>
      <w:pPr>
        <w:pStyle w:val="28"/>
        <w:ind w:firstLine="480" w:firstLineChars="200"/>
        <w:rPr>
          <w:rFonts w:ascii="Times New Roman" w:hAnsi="Times New Roman" w:cs="Times New Roman"/>
        </w:rPr>
      </w:pPr>
      <w:r>
        <w:rPr>
          <w:rFonts w:ascii="Times New Roman" w:hAnsi="Times New Roman" w:cs="Times New Roman"/>
        </w:rPr>
        <w:t>由于采场终了边坡坡度达6</w:t>
      </w:r>
      <w:r>
        <w:rPr>
          <w:rFonts w:hint="eastAsia" w:ascii="Times New Roman" w:hAnsi="Times New Roman" w:cs="Times New Roman"/>
        </w:rPr>
        <w:t>5</w:t>
      </w:r>
      <w:r>
        <w:rPr>
          <w:rFonts w:ascii="Times New Roman" w:hAnsi="Times New Roman" w:cs="Times New Roman"/>
        </w:rPr>
        <w:t>°，且地表均为石质，不宜在边坡上覆土，无法在这样的边坡上直接植树种草，所以设计采用在终了平台靠近终了边坡50cm的地方选木质藤本植被爬山虎进行栽种，遮盖终了边坡，达到绿化的目标。爬山虎耐贫瘠，对土壤要求不高，适应气候性较强，抗寒、耐热、耐旱，能在摄氏零下23</w:t>
      </w:r>
      <w:r>
        <w:rPr>
          <w:rFonts w:hint="eastAsia" w:ascii="Times New Roman" w:hAnsi="Times New Roman" w:cs="Times New Roman"/>
        </w:rPr>
        <w:t>℃</w:t>
      </w:r>
      <w:r>
        <w:rPr>
          <w:rFonts w:ascii="Times New Roman" w:hAnsi="Times New Roman" w:cs="Times New Roman"/>
        </w:rPr>
        <w:t>至零上50</w:t>
      </w:r>
      <w:r>
        <w:rPr>
          <w:rFonts w:hint="eastAsia" w:ascii="Times New Roman" w:hAnsi="Times New Roman" w:cs="Times New Roman"/>
        </w:rPr>
        <w:t>℃</w:t>
      </w:r>
      <w:r>
        <w:rPr>
          <w:rFonts w:ascii="Times New Roman" w:hAnsi="Times New Roman" w:cs="Times New Roman"/>
        </w:rPr>
        <w:t>的环境中生存，生长旺盛、迅速，短期内就能达到良好的绿化、美化效果，一年生苗可达1.5～2.0m，多年生的藤茎可达20～50m，具有很强的吸附和攀缘能力，是固土、护坡和绿化、美化环境的优良植物。本方案爬山虎种植密度为株间距</w:t>
      </w:r>
      <w:r>
        <w:rPr>
          <w:rFonts w:hint="eastAsia" w:ascii="Times New Roman" w:hAnsi="Times New Roman" w:cs="Times New Roman"/>
        </w:rPr>
        <w:t>0.3</w:t>
      </w:r>
      <w:r>
        <w:rPr>
          <w:rFonts w:ascii="Times New Roman" w:hAnsi="Times New Roman" w:cs="Times New Roman"/>
        </w:rPr>
        <w:t>m</w:t>
      </w:r>
      <w:r>
        <w:rPr>
          <w:rFonts w:hint="eastAsia" w:ascii="Times New Roman" w:hAnsi="Times New Roman" w:cs="Times New Roman"/>
        </w:rPr>
        <w:t>，</w:t>
      </w:r>
      <w:r>
        <w:rPr>
          <w:rFonts w:ascii="Times New Roman" w:hAnsi="Times New Roman" w:cs="Times New Roman"/>
        </w:rPr>
        <w:t>种植两行。</w:t>
      </w:r>
    </w:p>
    <w:tbl>
      <w:tblPr>
        <w:tblStyle w:val="21"/>
        <w:tblW w:w="0" w:type="auto"/>
        <w:jc w:val="center"/>
        <w:tblLayout w:type="fixed"/>
        <w:tblCellMar>
          <w:top w:w="15" w:type="dxa"/>
          <w:left w:w="15" w:type="dxa"/>
          <w:bottom w:w="15" w:type="dxa"/>
          <w:right w:w="15" w:type="dxa"/>
        </w:tblCellMar>
      </w:tblPr>
      <w:tblGrid>
        <w:gridCol w:w="2014"/>
        <w:gridCol w:w="1701"/>
        <w:gridCol w:w="1985"/>
        <w:gridCol w:w="2636"/>
      </w:tblGrid>
      <w:tr>
        <w:tblPrEx>
          <w:tblCellMar>
            <w:top w:w="15" w:type="dxa"/>
            <w:left w:w="15" w:type="dxa"/>
            <w:bottom w:w="15" w:type="dxa"/>
            <w:right w:w="15" w:type="dxa"/>
          </w:tblCellMar>
        </w:tblPrEx>
        <w:trPr>
          <w:trHeight w:val="300" w:hRule="atLeast"/>
          <w:jc w:val="center"/>
        </w:trPr>
        <w:tc>
          <w:tcPr>
            <w:tcW w:w="8336" w:type="dxa"/>
            <w:gridSpan w:val="4"/>
            <w:tcBorders>
              <w:bottom w:val="single" w:color="auto" w:sz="4" w:space="0"/>
            </w:tcBorders>
            <w:vAlign w:val="center"/>
          </w:tcPr>
          <w:p>
            <w:pPr>
              <w:widowControl/>
              <w:spacing w:line="240" w:lineRule="atLeast"/>
              <w:jc w:val="center"/>
              <w:textAlignment w:val="center"/>
              <w:rPr>
                <w:color w:val="000000"/>
                <w:szCs w:val="24"/>
              </w:rPr>
            </w:pPr>
            <w:r>
              <w:rPr>
                <w:b/>
                <w:bCs/>
                <w:color w:val="000000"/>
                <w:kern w:val="0"/>
                <w:szCs w:val="24"/>
              </w:rPr>
              <w:t>露天采场</w:t>
            </w:r>
            <w:r>
              <w:rPr>
                <w:rFonts w:hint="eastAsia"/>
                <w:b/>
                <w:bCs/>
                <w:color w:val="000000"/>
                <w:kern w:val="0"/>
                <w:szCs w:val="24"/>
              </w:rPr>
              <w:t>边坡</w:t>
            </w:r>
            <w:r>
              <w:rPr>
                <w:b/>
                <w:bCs/>
                <w:color w:val="000000"/>
                <w:kern w:val="0"/>
                <w:szCs w:val="24"/>
              </w:rPr>
              <w:t>复垦情况表表</w:t>
            </w:r>
            <w:r>
              <w:rPr>
                <w:rFonts w:hint="eastAsia"/>
                <w:b/>
                <w:bCs/>
                <w:color w:val="000000"/>
                <w:kern w:val="0"/>
                <w:szCs w:val="24"/>
              </w:rPr>
              <w:t>6-5</w:t>
            </w:r>
          </w:p>
        </w:tc>
      </w:tr>
      <w:tr>
        <w:tblPrEx>
          <w:tblCellMar>
            <w:top w:w="15" w:type="dxa"/>
            <w:left w:w="15" w:type="dxa"/>
            <w:bottom w:w="15" w:type="dxa"/>
            <w:right w:w="15" w:type="dxa"/>
          </w:tblCellMar>
        </w:tblPrEx>
        <w:trPr>
          <w:trHeight w:val="340" w:hRule="atLeast"/>
          <w:jc w:val="center"/>
        </w:trPr>
        <w:tc>
          <w:tcPr>
            <w:tcW w:w="2014"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color w:val="000000"/>
                <w:kern w:val="0"/>
                <w:szCs w:val="24"/>
              </w:rPr>
              <w:t>复垦单元</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color w:val="000000"/>
                <w:kern w:val="0"/>
                <w:szCs w:val="24"/>
              </w:rPr>
              <w:t>复垦面积（hm</w:t>
            </w:r>
            <w:r>
              <w:rPr>
                <w:color w:val="000000"/>
                <w:kern w:val="0"/>
                <w:szCs w:val="24"/>
                <w:vertAlign w:val="superscript"/>
              </w:rPr>
              <w:t>2</w:t>
            </w:r>
            <w:r>
              <w:rPr>
                <w:color w:val="000000"/>
                <w:kern w:val="0"/>
                <w:szCs w:val="24"/>
              </w:rPr>
              <w:t>）</w:t>
            </w:r>
          </w:p>
        </w:tc>
        <w:tc>
          <w:tcPr>
            <w:tcW w:w="1985"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color w:val="000000"/>
                <w:kern w:val="0"/>
                <w:szCs w:val="24"/>
              </w:rPr>
              <w:t>复垦方向</w:t>
            </w:r>
          </w:p>
        </w:tc>
        <w:tc>
          <w:tcPr>
            <w:tcW w:w="2636"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color w:val="000000"/>
                <w:kern w:val="0"/>
                <w:szCs w:val="24"/>
              </w:rPr>
              <w:t>复垦工程形式</w:t>
            </w:r>
          </w:p>
        </w:tc>
      </w:tr>
      <w:tr>
        <w:tblPrEx>
          <w:tblCellMar>
            <w:top w:w="15" w:type="dxa"/>
            <w:left w:w="15" w:type="dxa"/>
            <w:bottom w:w="15" w:type="dxa"/>
            <w:right w:w="15" w:type="dxa"/>
          </w:tblCellMar>
        </w:tblPrEx>
        <w:trPr>
          <w:trHeight w:val="340" w:hRule="atLeast"/>
          <w:jc w:val="center"/>
        </w:trPr>
        <w:tc>
          <w:tcPr>
            <w:tcW w:w="2014"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color w:val="000000"/>
                <w:kern w:val="0"/>
                <w:szCs w:val="24"/>
              </w:rPr>
              <w:t>露天采场</w:t>
            </w:r>
            <w:r>
              <w:rPr>
                <w:rFonts w:hint="eastAsia"/>
                <w:color w:val="000000"/>
                <w:kern w:val="0"/>
                <w:szCs w:val="24"/>
              </w:rPr>
              <w:t>边坡</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rFonts w:hint="eastAsia"/>
                <w:color w:val="000000"/>
                <w:szCs w:val="24"/>
              </w:rPr>
              <w:t>1.6609</w:t>
            </w:r>
          </w:p>
        </w:tc>
        <w:tc>
          <w:tcPr>
            <w:tcW w:w="1985"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rFonts w:hint="eastAsia"/>
                <w:color w:val="000000"/>
                <w:kern w:val="0"/>
                <w:szCs w:val="24"/>
              </w:rPr>
              <w:t>灌木</w:t>
            </w:r>
            <w:r>
              <w:rPr>
                <w:color w:val="000000"/>
                <w:kern w:val="0"/>
                <w:szCs w:val="24"/>
              </w:rPr>
              <w:t>林地</w:t>
            </w:r>
          </w:p>
        </w:tc>
        <w:tc>
          <w:tcPr>
            <w:tcW w:w="2636"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color w:val="000000"/>
                <w:kern w:val="0"/>
                <w:szCs w:val="24"/>
              </w:rPr>
              <w:t>种植爬山虎</w:t>
            </w:r>
          </w:p>
        </w:tc>
      </w:tr>
    </w:tbl>
    <w:p>
      <w:pPr>
        <w:pStyle w:val="28"/>
        <w:ind w:firstLine="480" w:firstLineChars="200"/>
        <w:rPr>
          <w:rFonts w:ascii="Times New Roman" w:hAnsi="Times New Roman"/>
        </w:rPr>
      </w:pPr>
      <w:r>
        <w:rPr>
          <w:rFonts w:hint="eastAsia" w:ascii="Times New Roman" w:hAnsi="Times New Roman"/>
        </w:rPr>
        <w:t>废渣</w:t>
      </w:r>
      <w:r>
        <w:rPr>
          <w:rFonts w:ascii="Times New Roman" w:hAnsi="Times New Roman"/>
        </w:rPr>
        <w:t>场复垦设计</w:t>
      </w:r>
    </w:p>
    <w:p>
      <w:pPr>
        <w:pStyle w:val="28"/>
        <w:ind w:firstLine="480" w:firstLineChars="200"/>
        <w:rPr>
          <w:rFonts w:ascii="Times New Roman" w:hAnsi="Times New Roman"/>
        </w:rPr>
      </w:pPr>
      <w:r>
        <w:rPr>
          <w:rFonts w:hint="eastAsia" w:ascii="Times New Roman" w:hAnsi="Times New Roman"/>
        </w:rPr>
        <w:t>废渣</w:t>
      </w:r>
      <w:r>
        <w:rPr>
          <w:rFonts w:ascii="Times New Roman" w:hAnsi="Times New Roman"/>
        </w:rPr>
        <w:t>场复垦分为平台复垦和边坡复垦。</w:t>
      </w:r>
    </w:p>
    <w:p>
      <w:pPr>
        <w:pStyle w:val="28"/>
        <w:numPr>
          <w:ilvl w:val="0"/>
          <w:numId w:val="3"/>
        </w:numPr>
        <w:ind w:firstLine="480" w:firstLineChars="200"/>
        <w:rPr>
          <w:rFonts w:ascii="Times New Roman" w:hAnsi="Times New Roman"/>
        </w:rPr>
      </w:pPr>
      <w:r>
        <w:rPr>
          <w:rFonts w:hint="eastAsia" w:ascii="Times New Roman" w:hAnsi="Times New Roman"/>
        </w:rPr>
        <w:t>废渣</w:t>
      </w:r>
      <w:r>
        <w:rPr>
          <w:rFonts w:ascii="Times New Roman" w:hAnsi="Times New Roman"/>
        </w:rPr>
        <w:t>场平台复垦工程设计</w:t>
      </w:r>
    </w:p>
    <w:p>
      <w:pPr>
        <w:pStyle w:val="28"/>
        <w:ind w:firstLine="480" w:firstLineChars="200"/>
        <w:rPr>
          <w:rFonts w:ascii="Times New Roman" w:hAnsi="Times New Roman"/>
        </w:rPr>
      </w:pPr>
      <w:r>
        <w:rPr>
          <w:rFonts w:ascii="Times New Roman" w:hAnsi="Times New Roman"/>
        </w:rPr>
        <w:t>（1）土壤重构工程</w:t>
      </w:r>
    </w:p>
    <w:p>
      <w:pPr>
        <w:pStyle w:val="28"/>
        <w:ind w:firstLine="480" w:firstLineChars="200"/>
        <w:rPr>
          <w:rFonts w:ascii="Times New Roman" w:hAnsi="Times New Roman"/>
        </w:rPr>
      </w:pPr>
      <w:r>
        <w:rPr>
          <w:rFonts w:hint="eastAsia" w:ascii="Times New Roman" w:hAnsi="Times New Roman"/>
        </w:rPr>
        <w:t>①</w:t>
      </w:r>
      <w:r>
        <w:rPr>
          <w:rFonts w:ascii="Times New Roman" w:hAnsi="Times New Roman"/>
        </w:rPr>
        <w:t>覆土工程</w:t>
      </w:r>
    </w:p>
    <w:p>
      <w:pPr>
        <w:pStyle w:val="28"/>
        <w:ind w:firstLine="480" w:firstLineChars="200"/>
        <w:rPr>
          <w:rFonts w:ascii="Times New Roman" w:hAnsi="Times New Roman"/>
        </w:rPr>
      </w:pPr>
      <w:r>
        <w:rPr>
          <w:rFonts w:ascii="Times New Roman" w:hAnsi="Times New Roman"/>
        </w:rPr>
        <w:t>根据复垦方向和复垦标准，</w:t>
      </w:r>
      <w:r>
        <w:rPr>
          <w:rFonts w:hint="eastAsia" w:ascii="Times New Roman" w:hAnsi="Times New Roman"/>
        </w:rPr>
        <w:t>废渣</w:t>
      </w:r>
      <w:r>
        <w:rPr>
          <w:rFonts w:ascii="Times New Roman" w:hAnsi="Times New Roman"/>
        </w:rPr>
        <w:t>场平台复垦为</w:t>
      </w:r>
      <w:r>
        <w:rPr>
          <w:rFonts w:hint="eastAsia" w:ascii="Times New Roman" w:hAnsi="Times New Roman"/>
        </w:rPr>
        <w:t>其他</w:t>
      </w:r>
      <w:r>
        <w:rPr>
          <w:rFonts w:ascii="Times New Roman" w:hAnsi="Times New Roman"/>
        </w:rPr>
        <w:t>草地，覆土0.3m，覆土采用机械覆土，土源来自外购土。</w:t>
      </w:r>
    </w:p>
    <w:p>
      <w:pPr>
        <w:pStyle w:val="28"/>
        <w:rPr>
          <w:rFonts w:ascii="Times New Roman" w:hAnsi="Times New Roman"/>
        </w:rPr>
      </w:pPr>
      <w:r>
        <w:rPr>
          <w:rFonts w:hint="eastAsia" w:ascii="Times New Roman" w:hAnsi="Times New Roman"/>
        </w:rPr>
        <w:t>②</w:t>
      </w:r>
      <w:r>
        <w:rPr>
          <w:rFonts w:ascii="Times New Roman" w:hAnsi="Times New Roman"/>
        </w:rPr>
        <w:t>平整工程设计</w:t>
      </w:r>
    </w:p>
    <w:p>
      <w:pPr>
        <w:pStyle w:val="28"/>
        <w:ind w:firstLine="480" w:firstLineChars="200"/>
        <w:rPr>
          <w:rFonts w:ascii="Times New Roman" w:hAnsi="Times New Roman"/>
        </w:rPr>
      </w:pPr>
      <w:r>
        <w:rPr>
          <w:rFonts w:ascii="Times New Roman" w:hAnsi="Times New Roman"/>
        </w:rPr>
        <w:t>土地平整工程：露天采场基底及平台均采取机械平土法，主要依靠机械进行土地平整。在具体操作时，把设计地面线以上的土一次挖去，起高垫低，使土地表面在满足设计坡度的条件下尽可能达到较理想的平面状态</w:t>
      </w:r>
      <w:r>
        <w:rPr>
          <w:rFonts w:hint="eastAsia" w:ascii="Times New Roman" w:hAnsi="Times New Roman"/>
        </w:rPr>
        <w:t>，</w:t>
      </w:r>
      <w:r>
        <w:rPr>
          <w:rFonts w:ascii="Times New Roman" w:hAnsi="Times New Roman"/>
        </w:rPr>
        <w:t xml:space="preserve"> 按照0.</w:t>
      </w:r>
      <w:r>
        <w:rPr>
          <w:rFonts w:hint="eastAsia" w:ascii="Times New Roman" w:hAnsi="Times New Roman"/>
        </w:rPr>
        <w:t>15</w:t>
      </w:r>
      <w:r>
        <w:rPr>
          <w:rFonts w:ascii="Times New Roman" w:hAnsi="Times New Roman"/>
        </w:rPr>
        <w:t xml:space="preserve"> m</w:t>
      </w:r>
      <w:r>
        <w:rPr>
          <w:rFonts w:ascii="Times New Roman" w:hAnsi="Times New Roman"/>
          <w:vertAlign w:val="superscript"/>
        </w:rPr>
        <w:t>3</w:t>
      </w:r>
      <w:r>
        <w:rPr>
          <w:rFonts w:ascii="Times New Roman" w:hAnsi="Times New Roman"/>
        </w:rPr>
        <w:t>/m</w:t>
      </w:r>
      <w:r>
        <w:rPr>
          <w:rFonts w:ascii="Times New Roman" w:hAnsi="Times New Roman"/>
          <w:vertAlign w:val="superscript"/>
        </w:rPr>
        <w:t>2</w:t>
      </w:r>
      <w:r>
        <w:rPr>
          <w:rFonts w:ascii="Times New Roman" w:hAnsi="Times New Roman"/>
        </w:rPr>
        <w:t>的标准进行平整</w:t>
      </w:r>
    </w:p>
    <w:p>
      <w:pPr>
        <w:pStyle w:val="28"/>
        <w:ind w:firstLine="480" w:firstLineChars="200"/>
        <w:rPr>
          <w:rFonts w:ascii="Times New Roman" w:hAnsi="Times New Roman"/>
        </w:rPr>
      </w:pPr>
      <w:r>
        <w:rPr>
          <w:rFonts w:ascii="Times New Roman" w:hAnsi="Times New Roman"/>
        </w:rPr>
        <w:t>（2）植被重建工程</w:t>
      </w:r>
    </w:p>
    <w:p>
      <w:pPr>
        <w:pStyle w:val="28"/>
        <w:ind w:firstLine="480" w:firstLineChars="200"/>
        <w:rPr>
          <w:rFonts w:ascii="Times New Roman" w:hAnsi="Times New Roman" w:cs="Times New Roman"/>
        </w:rPr>
      </w:pPr>
      <w:r>
        <w:rPr>
          <w:rFonts w:ascii="Times New Roman" w:hAnsi="Times New Roman" w:cs="Times New Roman"/>
        </w:rPr>
        <w:t>根据当地气候条件及适宜植被类型分析，复垦为</w:t>
      </w:r>
      <w:r>
        <w:rPr>
          <w:rFonts w:hint="eastAsia" w:ascii="Times New Roman" w:hAnsi="Times New Roman" w:cs="Times New Roman"/>
        </w:rPr>
        <w:t>其他</w:t>
      </w:r>
      <w:r>
        <w:rPr>
          <w:rFonts w:ascii="Times New Roman" w:hAnsi="Times New Roman" w:cs="Times New Roman"/>
        </w:rPr>
        <w:t>草地，覆土后为改良土壤撒播绿肥，标准450kg/ hm</w:t>
      </w:r>
      <w:r>
        <w:rPr>
          <w:rFonts w:ascii="Times New Roman" w:hAnsi="Times New Roman" w:cs="Times New Roman"/>
          <w:vertAlign w:val="superscript"/>
        </w:rPr>
        <w:t>2</w:t>
      </w:r>
      <w:r>
        <w:rPr>
          <w:rFonts w:ascii="Times New Roman" w:hAnsi="Times New Roman" w:cs="Times New Roman"/>
        </w:rPr>
        <w:t>，然后进行撒播紫花苜蓿，种植密度为30kg/hm</w:t>
      </w:r>
      <w:r>
        <w:rPr>
          <w:rFonts w:ascii="Times New Roman" w:hAnsi="Times New Roman" w:cs="Times New Roman"/>
          <w:vertAlign w:val="superscript"/>
        </w:rPr>
        <w:t>2</w:t>
      </w:r>
      <w:r>
        <w:rPr>
          <w:rFonts w:ascii="Times New Roman" w:hAnsi="Times New Roman" w:cs="Times New Roman"/>
        </w:rPr>
        <w:t>。</w:t>
      </w:r>
    </w:p>
    <w:tbl>
      <w:tblPr>
        <w:tblStyle w:val="21"/>
        <w:tblW w:w="0" w:type="auto"/>
        <w:jc w:val="center"/>
        <w:tblLayout w:type="fixed"/>
        <w:tblCellMar>
          <w:top w:w="15" w:type="dxa"/>
          <w:left w:w="15" w:type="dxa"/>
          <w:bottom w:w="15" w:type="dxa"/>
          <w:right w:w="15" w:type="dxa"/>
        </w:tblCellMar>
      </w:tblPr>
      <w:tblGrid>
        <w:gridCol w:w="2014"/>
        <w:gridCol w:w="1701"/>
        <w:gridCol w:w="1985"/>
        <w:gridCol w:w="2636"/>
      </w:tblGrid>
      <w:tr>
        <w:tblPrEx>
          <w:tblCellMar>
            <w:top w:w="15" w:type="dxa"/>
            <w:left w:w="15" w:type="dxa"/>
            <w:bottom w:w="15" w:type="dxa"/>
            <w:right w:w="15" w:type="dxa"/>
          </w:tblCellMar>
        </w:tblPrEx>
        <w:trPr>
          <w:trHeight w:val="300" w:hRule="atLeast"/>
          <w:jc w:val="center"/>
        </w:trPr>
        <w:tc>
          <w:tcPr>
            <w:tcW w:w="8336" w:type="dxa"/>
            <w:gridSpan w:val="4"/>
            <w:tcBorders>
              <w:bottom w:val="single" w:color="auto" w:sz="4" w:space="0"/>
            </w:tcBorders>
            <w:vAlign w:val="center"/>
          </w:tcPr>
          <w:p>
            <w:pPr>
              <w:widowControl/>
              <w:spacing w:line="240" w:lineRule="atLeast"/>
              <w:ind w:firstLine="562"/>
              <w:jc w:val="center"/>
              <w:textAlignment w:val="center"/>
              <w:rPr>
                <w:color w:val="000000"/>
                <w:szCs w:val="24"/>
              </w:rPr>
            </w:pPr>
            <w:r>
              <w:rPr>
                <w:rFonts w:hint="eastAsia"/>
                <w:b/>
                <w:bCs/>
                <w:color w:val="000000"/>
                <w:kern w:val="0"/>
                <w:szCs w:val="24"/>
              </w:rPr>
              <w:t>废渣场</w:t>
            </w:r>
            <w:r>
              <w:rPr>
                <w:b/>
                <w:bCs/>
                <w:color w:val="000000"/>
                <w:kern w:val="0"/>
                <w:szCs w:val="24"/>
              </w:rPr>
              <w:t>平台复垦情况表表</w:t>
            </w:r>
            <w:r>
              <w:rPr>
                <w:rFonts w:hint="eastAsia"/>
                <w:b/>
                <w:bCs/>
                <w:color w:val="000000"/>
                <w:kern w:val="0"/>
                <w:szCs w:val="24"/>
              </w:rPr>
              <w:t>6-6</w:t>
            </w:r>
          </w:p>
        </w:tc>
      </w:tr>
      <w:tr>
        <w:tblPrEx>
          <w:tblCellMar>
            <w:top w:w="15" w:type="dxa"/>
            <w:left w:w="15" w:type="dxa"/>
            <w:bottom w:w="15" w:type="dxa"/>
            <w:right w:w="15" w:type="dxa"/>
          </w:tblCellMar>
        </w:tblPrEx>
        <w:trPr>
          <w:trHeight w:val="340" w:hRule="atLeast"/>
          <w:jc w:val="center"/>
        </w:trPr>
        <w:tc>
          <w:tcPr>
            <w:tcW w:w="2014"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color w:val="000000"/>
                <w:kern w:val="0"/>
                <w:szCs w:val="24"/>
              </w:rPr>
              <w:t>复垦单元</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color w:val="000000"/>
                <w:kern w:val="0"/>
                <w:szCs w:val="24"/>
              </w:rPr>
              <w:t>复垦面积（hm</w:t>
            </w:r>
            <w:r>
              <w:rPr>
                <w:color w:val="000000"/>
                <w:kern w:val="0"/>
                <w:szCs w:val="24"/>
                <w:vertAlign w:val="superscript"/>
              </w:rPr>
              <w:t>2</w:t>
            </w:r>
            <w:r>
              <w:rPr>
                <w:color w:val="000000"/>
                <w:kern w:val="0"/>
                <w:szCs w:val="24"/>
              </w:rPr>
              <w:t>）</w:t>
            </w:r>
          </w:p>
        </w:tc>
        <w:tc>
          <w:tcPr>
            <w:tcW w:w="1985"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color w:val="000000"/>
                <w:kern w:val="0"/>
                <w:szCs w:val="24"/>
              </w:rPr>
              <w:t>复垦方向</w:t>
            </w:r>
          </w:p>
        </w:tc>
        <w:tc>
          <w:tcPr>
            <w:tcW w:w="2636"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color w:val="000000"/>
                <w:kern w:val="0"/>
                <w:szCs w:val="24"/>
              </w:rPr>
              <w:t>复垦工程形式</w:t>
            </w:r>
          </w:p>
        </w:tc>
      </w:tr>
      <w:tr>
        <w:tblPrEx>
          <w:tblCellMar>
            <w:top w:w="15" w:type="dxa"/>
            <w:left w:w="15" w:type="dxa"/>
            <w:bottom w:w="15" w:type="dxa"/>
            <w:right w:w="15" w:type="dxa"/>
          </w:tblCellMar>
        </w:tblPrEx>
        <w:trPr>
          <w:trHeight w:val="340" w:hRule="atLeast"/>
          <w:jc w:val="center"/>
        </w:trPr>
        <w:tc>
          <w:tcPr>
            <w:tcW w:w="2014"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rFonts w:hint="eastAsia"/>
                <w:color w:val="000000"/>
                <w:kern w:val="0"/>
                <w:szCs w:val="24"/>
              </w:rPr>
              <w:t>废渣场</w:t>
            </w:r>
            <w:r>
              <w:rPr>
                <w:color w:val="000000"/>
                <w:kern w:val="0"/>
                <w:szCs w:val="24"/>
              </w:rPr>
              <w:t>平台</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rFonts w:hint="eastAsia"/>
                <w:color w:val="000000"/>
                <w:szCs w:val="24"/>
              </w:rPr>
              <w:t>0.2677</w:t>
            </w:r>
          </w:p>
        </w:tc>
        <w:tc>
          <w:tcPr>
            <w:tcW w:w="1985"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rFonts w:hint="eastAsia"/>
                <w:color w:val="000000"/>
                <w:kern w:val="0"/>
                <w:szCs w:val="24"/>
              </w:rPr>
              <w:t>其他</w:t>
            </w:r>
            <w:r>
              <w:rPr>
                <w:color w:val="000000"/>
                <w:kern w:val="0"/>
                <w:szCs w:val="24"/>
              </w:rPr>
              <w:t>草地</w:t>
            </w:r>
          </w:p>
        </w:tc>
        <w:tc>
          <w:tcPr>
            <w:tcW w:w="2636"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color w:val="000000"/>
                <w:kern w:val="0"/>
                <w:szCs w:val="24"/>
              </w:rPr>
              <w:t>撒播紫花苜蓿</w:t>
            </w:r>
          </w:p>
        </w:tc>
      </w:tr>
    </w:tbl>
    <w:p>
      <w:pPr>
        <w:pStyle w:val="28"/>
        <w:ind w:firstLine="480" w:firstLineChars="200"/>
        <w:rPr>
          <w:rFonts w:ascii="Times New Roman" w:hAnsi="Times New Roman" w:cs="Times New Roman"/>
        </w:rPr>
      </w:pPr>
    </w:p>
    <w:p>
      <w:pPr>
        <w:pStyle w:val="28"/>
        <w:ind w:firstLine="480" w:firstLineChars="200"/>
        <w:rPr>
          <w:rFonts w:ascii="Times New Roman" w:hAnsi="Times New Roman"/>
        </w:rPr>
      </w:pPr>
      <w:r>
        <w:rPr>
          <w:rFonts w:hint="eastAsia" w:ascii="Times New Roman" w:hAnsi="Times New Roman"/>
        </w:rPr>
        <w:t>废渣场</w:t>
      </w:r>
      <w:r>
        <w:rPr>
          <w:rFonts w:ascii="Times New Roman" w:hAnsi="Times New Roman"/>
        </w:rPr>
        <w:t>边坡复垦工程设计</w:t>
      </w:r>
    </w:p>
    <w:p>
      <w:pPr>
        <w:pStyle w:val="28"/>
        <w:ind w:firstLine="480" w:firstLineChars="200"/>
        <w:rPr>
          <w:rFonts w:ascii="Times New Roman" w:hAnsi="Times New Roman"/>
        </w:rPr>
      </w:pPr>
      <w:r>
        <w:rPr>
          <w:rFonts w:ascii="Times New Roman" w:hAnsi="Times New Roman"/>
        </w:rPr>
        <w:t>（1）土壤重构工程</w:t>
      </w:r>
    </w:p>
    <w:p>
      <w:pPr>
        <w:pStyle w:val="28"/>
        <w:ind w:firstLine="480" w:firstLineChars="200"/>
        <w:rPr>
          <w:rFonts w:ascii="Times New Roman" w:hAnsi="Times New Roman"/>
        </w:rPr>
      </w:pPr>
      <w:r>
        <w:rPr>
          <w:rFonts w:hint="eastAsia" w:ascii="Times New Roman" w:hAnsi="Times New Roman"/>
        </w:rPr>
        <w:t>废渣</w:t>
      </w:r>
      <w:r>
        <w:rPr>
          <w:rFonts w:ascii="Times New Roman" w:hAnsi="Times New Roman"/>
        </w:rPr>
        <w:t>场边坡边坡坡度</w:t>
      </w:r>
      <w:r>
        <w:rPr>
          <w:rFonts w:hint="eastAsia" w:ascii="Times New Roman" w:hAnsi="Times New Roman"/>
        </w:rPr>
        <w:t>2</w:t>
      </w:r>
      <w:r>
        <w:rPr>
          <w:rFonts w:ascii="Times New Roman" w:hAnsi="Times New Roman"/>
        </w:rPr>
        <w:t>5°左右，边坡高度最高</w:t>
      </w:r>
      <w:r>
        <w:rPr>
          <w:rFonts w:hint="eastAsia" w:ascii="Times New Roman" w:hAnsi="Times New Roman"/>
        </w:rPr>
        <w:t>8m，</w:t>
      </w:r>
      <w:r>
        <w:rPr>
          <w:rFonts w:ascii="Times New Roman" w:hAnsi="Times New Roman"/>
        </w:rPr>
        <w:t>复垦为</w:t>
      </w:r>
      <w:r>
        <w:rPr>
          <w:rFonts w:hint="eastAsia" w:ascii="Times New Roman" w:hAnsi="Times New Roman"/>
        </w:rPr>
        <w:t>其他</w:t>
      </w:r>
      <w:r>
        <w:rPr>
          <w:rFonts w:ascii="Times New Roman" w:hAnsi="Times New Roman"/>
        </w:rPr>
        <w:t>草地，覆土0.3m，覆土</w:t>
      </w:r>
      <w:r>
        <w:rPr>
          <w:rFonts w:hint="eastAsia" w:ascii="Times New Roman" w:hAnsi="Times New Roman"/>
        </w:rPr>
        <w:t>人工</w:t>
      </w:r>
      <w:r>
        <w:rPr>
          <w:rFonts w:ascii="Times New Roman" w:hAnsi="Times New Roman"/>
        </w:rPr>
        <w:t>覆土，土源来自外购土。</w:t>
      </w:r>
    </w:p>
    <w:p>
      <w:pPr>
        <w:pStyle w:val="28"/>
        <w:ind w:firstLine="480" w:firstLineChars="200"/>
        <w:rPr>
          <w:rFonts w:ascii="Times New Roman" w:hAnsi="Times New Roman"/>
        </w:rPr>
      </w:pPr>
      <w:r>
        <w:rPr>
          <w:rFonts w:ascii="Times New Roman" w:hAnsi="Times New Roman"/>
        </w:rPr>
        <w:t>（2）植被重建工程</w:t>
      </w:r>
    </w:p>
    <w:p>
      <w:pPr>
        <w:pStyle w:val="28"/>
        <w:ind w:firstLine="480" w:firstLineChars="200"/>
        <w:rPr>
          <w:rFonts w:ascii="Times New Roman" w:hAnsi="Times New Roman" w:cs="Times New Roman"/>
        </w:rPr>
      </w:pPr>
      <w:r>
        <w:rPr>
          <w:rFonts w:ascii="Times New Roman" w:hAnsi="Times New Roman" w:cs="Times New Roman"/>
        </w:rPr>
        <w:t>根据当地气候条件及适宜植被类型分析，复垦为</w:t>
      </w:r>
      <w:r>
        <w:rPr>
          <w:rFonts w:hint="eastAsia" w:ascii="Times New Roman" w:hAnsi="Times New Roman" w:cs="Times New Roman"/>
        </w:rPr>
        <w:t>其他</w:t>
      </w:r>
      <w:r>
        <w:rPr>
          <w:rFonts w:ascii="Times New Roman" w:hAnsi="Times New Roman" w:cs="Times New Roman"/>
        </w:rPr>
        <w:t>草地，覆土后为改良土壤撒播绿肥，标准450kg/ hm</w:t>
      </w:r>
      <w:r>
        <w:rPr>
          <w:rFonts w:ascii="Times New Roman" w:hAnsi="Times New Roman" w:cs="Times New Roman"/>
          <w:vertAlign w:val="superscript"/>
        </w:rPr>
        <w:t>2</w:t>
      </w:r>
      <w:r>
        <w:rPr>
          <w:rFonts w:ascii="Times New Roman" w:hAnsi="Times New Roman" w:cs="Times New Roman"/>
        </w:rPr>
        <w:t>，然后进行撒播紫花苜蓿，种植密度为30kg/hm</w:t>
      </w:r>
      <w:r>
        <w:rPr>
          <w:rFonts w:ascii="Times New Roman" w:hAnsi="Times New Roman" w:cs="Times New Roman"/>
          <w:vertAlign w:val="superscript"/>
        </w:rPr>
        <w:t>2</w:t>
      </w:r>
      <w:r>
        <w:rPr>
          <w:rFonts w:ascii="Times New Roman" w:hAnsi="Times New Roman" w:cs="Times New Roman"/>
        </w:rPr>
        <w:t>。</w:t>
      </w:r>
    </w:p>
    <w:tbl>
      <w:tblPr>
        <w:tblStyle w:val="21"/>
        <w:tblW w:w="0" w:type="auto"/>
        <w:jc w:val="center"/>
        <w:tblLayout w:type="fixed"/>
        <w:tblCellMar>
          <w:top w:w="15" w:type="dxa"/>
          <w:left w:w="15" w:type="dxa"/>
          <w:bottom w:w="15" w:type="dxa"/>
          <w:right w:w="15" w:type="dxa"/>
        </w:tblCellMar>
      </w:tblPr>
      <w:tblGrid>
        <w:gridCol w:w="2014"/>
        <w:gridCol w:w="1701"/>
        <w:gridCol w:w="1985"/>
        <w:gridCol w:w="2636"/>
      </w:tblGrid>
      <w:tr>
        <w:tblPrEx>
          <w:tblCellMar>
            <w:top w:w="15" w:type="dxa"/>
            <w:left w:w="15" w:type="dxa"/>
            <w:bottom w:w="15" w:type="dxa"/>
            <w:right w:w="15" w:type="dxa"/>
          </w:tblCellMar>
        </w:tblPrEx>
        <w:trPr>
          <w:trHeight w:val="300" w:hRule="atLeast"/>
          <w:jc w:val="center"/>
        </w:trPr>
        <w:tc>
          <w:tcPr>
            <w:tcW w:w="8336" w:type="dxa"/>
            <w:gridSpan w:val="4"/>
            <w:tcBorders>
              <w:bottom w:val="single" w:color="auto" w:sz="4" w:space="0"/>
            </w:tcBorders>
            <w:vAlign w:val="center"/>
          </w:tcPr>
          <w:p>
            <w:pPr>
              <w:widowControl/>
              <w:spacing w:line="240" w:lineRule="atLeast"/>
              <w:ind w:firstLine="562"/>
              <w:jc w:val="center"/>
              <w:textAlignment w:val="center"/>
              <w:rPr>
                <w:color w:val="000000"/>
                <w:szCs w:val="24"/>
              </w:rPr>
            </w:pPr>
            <w:r>
              <w:rPr>
                <w:rFonts w:hint="eastAsia"/>
                <w:b/>
                <w:bCs/>
                <w:color w:val="000000"/>
                <w:kern w:val="0"/>
                <w:szCs w:val="24"/>
              </w:rPr>
              <w:t>废渣场边坡</w:t>
            </w:r>
            <w:r>
              <w:rPr>
                <w:b/>
                <w:bCs/>
                <w:color w:val="000000"/>
                <w:kern w:val="0"/>
                <w:szCs w:val="24"/>
              </w:rPr>
              <w:t>复垦情况表</w:t>
            </w:r>
            <w:r>
              <w:rPr>
                <w:rFonts w:hint="eastAsia"/>
                <w:b/>
                <w:bCs/>
                <w:color w:val="000000"/>
                <w:kern w:val="0"/>
                <w:szCs w:val="24"/>
              </w:rPr>
              <w:t xml:space="preserve">    6-7</w:t>
            </w:r>
          </w:p>
        </w:tc>
      </w:tr>
      <w:tr>
        <w:tblPrEx>
          <w:tblCellMar>
            <w:top w:w="15" w:type="dxa"/>
            <w:left w:w="15" w:type="dxa"/>
            <w:bottom w:w="15" w:type="dxa"/>
            <w:right w:w="15" w:type="dxa"/>
          </w:tblCellMar>
        </w:tblPrEx>
        <w:trPr>
          <w:trHeight w:val="340" w:hRule="atLeast"/>
          <w:jc w:val="center"/>
        </w:trPr>
        <w:tc>
          <w:tcPr>
            <w:tcW w:w="2014"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color w:val="000000"/>
                <w:kern w:val="0"/>
                <w:szCs w:val="24"/>
              </w:rPr>
              <w:t>复垦单元</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color w:val="000000"/>
                <w:kern w:val="0"/>
                <w:szCs w:val="24"/>
              </w:rPr>
              <w:t>复垦面积（hm</w:t>
            </w:r>
            <w:r>
              <w:rPr>
                <w:color w:val="000000"/>
                <w:kern w:val="0"/>
                <w:szCs w:val="24"/>
                <w:vertAlign w:val="superscript"/>
              </w:rPr>
              <w:t>2</w:t>
            </w:r>
            <w:r>
              <w:rPr>
                <w:color w:val="000000"/>
                <w:kern w:val="0"/>
                <w:szCs w:val="24"/>
              </w:rPr>
              <w:t>）</w:t>
            </w:r>
          </w:p>
        </w:tc>
        <w:tc>
          <w:tcPr>
            <w:tcW w:w="1985"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color w:val="000000"/>
                <w:kern w:val="0"/>
                <w:szCs w:val="24"/>
              </w:rPr>
              <w:t>复垦方向</w:t>
            </w:r>
          </w:p>
        </w:tc>
        <w:tc>
          <w:tcPr>
            <w:tcW w:w="2636"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color w:val="000000"/>
                <w:kern w:val="0"/>
                <w:szCs w:val="24"/>
              </w:rPr>
              <w:t>复垦工程形式</w:t>
            </w:r>
          </w:p>
        </w:tc>
      </w:tr>
      <w:tr>
        <w:tblPrEx>
          <w:tblCellMar>
            <w:top w:w="15" w:type="dxa"/>
            <w:left w:w="15" w:type="dxa"/>
            <w:bottom w:w="15" w:type="dxa"/>
            <w:right w:w="15" w:type="dxa"/>
          </w:tblCellMar>
        </w:tblPrEx>
        <w:trPr>
          <w:trHeight w:val="340" w:hRule="atLeast"/>
          <w:jc w:val="center"/>
        </w:trPr>
        <w:tc>
          <w:tcPr>
            <w:tcW w:w="2014"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rFonts w:hint="eastAsia"/>
                <w:color w:val="000000"/>
                <w:kern w:val="0"/>
                <w:szCs w:val="24"/>
              </w:rPr>
              <w:t>废渣场</w:t>
            </w:r>
            <w:r>
              <w:rPr>
                <w:color w:val="000000"/>
                <w:kern w:val="0"/>
                <w:szCs w:val="24"/>
              </w:rPr>
              <w:t>边坡</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rFonts w:hint="eastAsia"/>
                <w:color w:val="000000"/>
                <w:szCs w:val="24"/>
              </w:rPr>
              <w:t>0.1011</w:t>
            </w:r>
          </w:p>
        </w:tc>
        <w:tc>
          <w:tcPr>
            <w:tcW w:w="1985"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rFonts w:hint="eastAsia"/>
                <w:color w:val="000000"/>
                <w:kern w:val="0"/>
                <w:szCs w:val="24"/>
              </w:rPr>
              <w:t>其他</w:t>
            </w:r>
            <w:r>
              <w:rPr>
                <w:color w:val="000000"/>
                <w:kern w:val="0"/>
                <w:szCs w:val="24"/>
              </w:rPr>
              <w:t>草地</w:t>
            </w:r>
          </w:p>
        </w:tc>
        <w:tc>
          <w:tcPr>
            <w:tcW w:w="2636"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color w:val="000000"/>
                <w:kern w:val="0"/>
                <w:szCs w:val="24"/>
              </w:rPr>
              <w:t>撒播紫花苜蓿</w:t>
            </w:r>
          </w:p>
        </w:tc>
      </w:tr>
    </w:tbl>
    <w:p>
      <w:pPr>
        <w:pStyle w:val="28"/>
        <w:ind w:firstLine="480" w:firstLineChars="200"/>
        <w:rPr>
          <w:rFonts w:ascii="Times New Roman" w:hAnsi="Times New Roman"/>
        </w:rPr>
      </w:pPr>
      <w:r>
        <w:rPr>
          <w:rFonts w:ascii="Times New Roman" w:hAnsi="Times New Roman"/>
        </w:rPr>
        <w:t>生产生活区复垦设计</w:t>
      </w:r>
    </w:p>
    <w:p>
      <w:pPr>
        <w:pStyle w:val="28"/>
        <w:ind w:firstLine="480" w:firstLineChars="200"/>
        <w:rPr>
          <w:rFonts w:ascii="Times New Roman" w:hAnsi="Times New Roman"/>
        </w:rPr>
      </w:pPr>
      <w:r>
        <w:rPr>
          <w:rFonts w:hint="eastAsia" w:ascii="Times New Roman" w:hAnsi="Times New Roman"/>
        </w:rPr>
        <w:t>生产生活区包括堆料区、废渣堆、新旧工业场地、新旧办公生活区，根据前文“矿山地质环境保护与治理恢复工程”设计，堆料区内已售卖清理，废渣堆内的废渣已拉运至废渣场，新旧工业场地、新旧办公生活区构建筑物已拆除、清运，土地复垦工程设计</w:t>
      </w:r>
      <w:r>
        <w:rPr>
          <w:rFonts w:ascii="Times New Roman" w:hAnsi="Times New Roman"/>
        </w:rPr>
        <w:t>生产生活区复垦为旱地</w:t>
      </w:r>
      <w:r>
        <w:rPr>
          <w:rFonts w:hint="eastAsia" w:ascii="Times New Roman" w:hAnsi="Times New Roman"/>
        </w:rPr>
        <w:t>1.2330</w:t>
      </w:r>
      <w:r>
        <w:rPr>
          <w:rFonts w:ascii="Times New Roman" w:hAnsi="Times New Roman"/>
        </w:rPr>
        <w:t xml:space="preserve"> hm</w:t>
      </w:r>
      <w:r>
        <w:rPr>
          <w:rFonts w:ascii="Times New Roman" w:hAnsi="Times New Roman"/>
          <w:vertAlign w:val="superscript"/>
        </w:rPr>
        <w:t>2</w:t>
      </w:r>
      <w:r>
        <w:rPr>
          <w:rFonts w:ascii="Times New Roman" w:hAnsi="Times New Roman"/>
        </w:rPr>
        <w:t>，其他草地</w:t>
      </w:r>
      <w:r>
        <w:rPr>
          <w:rFonts w:hint="eastAsia" w:ascii="Times New Roman" w:hAnsi="Times New Roman"/>
        </w:rPr>
        <w:t>0.4484</w:t>
      </w:r>
      <w:r>
        <w:rPr>
          <w:rFonts w:ascii="Times New Roman" w:hAnsi="Times New Roman"/>
        </w:rPr>
        <w:t xml:space="preserve"> hm</w:t>
      </w:r>
      <w:r>
        <w:rPr>
          <w:rFonts w:ascii="Times New Roman" w:hAnsi="Times New Roman"/>
          <w:vertAlign w:val="superscript"/>
        </w:rPr>
        <w:t>2</w:t>
      </w:r>
      <w:r>
        <w:rPr>
          <w:rFonts w:ascii="Times New Roman" w:hAnsi="Times New Roman"/>
        </w:rPr>
        <w:t>，内陆滩涂</w:t>
      </w:r>
      <w:r>
        <w:rPr>
          <w:rFonts w:hint="eastAsia" w:ascii="Times New Roman" w:hAnsi="Times New Roman"/>
        </w:rPr>
        <w:t>0.4727</w:t>
      </w:r>
      <w:r>
        <w:rPr>
          <w:rFonts w:ascii="Times New Roman" w:hAnsi="Times New Roman"/>
        </w:rPr>
        <w:t xml:space="preserve"> hm</w:t>
      </w:r>
      <w:r>
        <w:rPr>
          <w:rFonts w:ascii="Times New Roman" w:hAnsi="Times New Roman"/>
          <w:vertAlign w:val="superscript"/>
        </w:rPr>
        <w:t>2</w:t>
      </w:r>
      <w:r>
        <w:rPr>
          <w:rFonts w:hint="eastAsia" w:ascii="Times New Roman" w:hAnsi="Times New Roman"/>
        </w:rPr>
        <w:t>。</w:t>
      </w:r>
    </w:p>
    <w:p>
      <w:pPr>
        <w:pStyle w:val="28"/>
        <w:ind w:firstLine="480" w:firstLineChars="200"/>
        <w:rPr>
          <w:rFonts w:ascii="Times New Roman" w:hAnsi="Times New Roman"/>
        </w:rPr>
      </w:pPr>
      <w:r>
        <w:rPr>
          <w:rFonts w:ascii="Times New Roman" w:hAnsi="Times New Roman"/>
        </w:rPr>
        <w:t>（</w:t>
      </w:r>
      <w:r>
        <w:rPr>
          <w:rFonts w:hint="eastAsia" w:ascii="Times New Roman" w:hAnsi="Times New Roman"/>
        </w:rPr>
        <w:t>1</w:t>
      </w:r>
      <w:r>
        <w:rPr>
          <w:rFonts w:ascii="Times New Roman" w:hAnsi="Times New Roman"/>
        </w:rPr>
        <w:t>）土壤重构工程</w:t>
      </w:r>
    </w:p>
    <w:p>
      <w:pPr>
        <w:pStyle w:val="28"/>
        <w:ind w:firstLine="480" w:firstLineChars="200"/>
        <w:rPr>
          <w:rFonts w:ascii="Times New Roman" w:hAnsi="Times New Roman"/>
        </w:rPr>
      </w:pPr>
      <w:r>
        <w:rPr>
          <w:rFonts w:hint="eastAsia" w:ascii="Times New Roman" w:hAnsi="Times New Roman"/>
        </w:rPr>
        <w:t>耕</w:t>
      </w:r>
      <w:r>
        <w:rPr>
          <w:rFonts w:ascii="Times New Roman" w:hAnsi="Times New Roman"/>
        </w:rPr>
        <w:t>地按照0.</w:t>
      </w:r>
      <w:r>
        <w:rPr>
          <w:rFonts w:hint="eastAsia" w:ascii="Times New Roman" w:hAnsi="Times New Roman"/>
        </w:rPr>
        <w:t>30</w:t>
      </w:r>
      <w:r>
        <w:rPr>
          <w:rFonts w:ascii="Times New Roman" w:hAnsi="Times New Roman"/>
        </w:rPr>
        <w:t xml:space="preserve"> m</w:t>
      </w:r>
      <w:r>
        <w:rPr>
          <w:rFonts w:ascii="Times New Roman" w:hAnsi="Times New Roman"/>
          <w:vertAlign w:val="superscript"/>
        </w:rPr>
        <w:t>3</w:t>
      </w:r>
      <w:r>
        <w:rPr>
          <w:rFonts w:ascii="Times New Roman" w:hAnsi="Times New Roman"/>
        </w:rPr>
        <w:t>/ m</w:t>
      </w:r>
      <w:r>
        <w:rPr>
          <w:rFonts w:ascii="Times New Roman" w:hAnsi="Times New Roman"/>
          <w:vertAlign w:val="superscript"/>
        </w:rPr>
        <w:t>2</w:t>
      </w:r>
      <w:r>
        <w:rPr>
          <w:rFonts w:ascii="Times New Roman" w:hAnsi="Times New Roman"/>
        </w:rPr>
        <w:t>的标准进行平整，覆土标准</w:t>
      </w:r>
      <w:r>
        <w:rPr>
          <w:rFonts w:hint="eastAsia" w:ascii="Times New Roman" w:hAnsi="Times New Roman"/>
        </w:rPr>
        <w:t>0.5</w:t>
      </w:r>
      <w:r>
        <w:rPr>
          <w:rFonts w:ascii="Times New Roman" w:hAnsi="Times New Roman"/>
        </w:rPr>
        <w:t>m</w:t>
      </w:r>
      <w:r>
        <w:rPr>
          <w:rFonts w:hint="eastAsia" w:ascii="Times New Roman" w:hAnsi="Times New Roman"/>
        </w:rPr>
        <w:t>；</w:t>
      </w:r>
      <w:r>
        <w:rPr>
          <w:rFonts w:ascii="Times New Roman" w:hAnsi="Times New Roman"/>
        </w:rPr>
        <w:t>进行河道清理</w:t>
      </w:r>
      <w:r>
        <w:rPr>
          <w:rFonts w:hint="eastAsia" w:ascii="Times New Roman" w:hAnsi="Times New Roman"/>
        </w:rPr>
        <w:t>，</w:t>
      </w:r>
      <w:r>
        <w:rPr>
          <w:rFonts w:ascii="Times New Roman" w:hAnsi="Times New Roman"/>
        </w:rPr>
        <w:t>与现有河床标高一致</w:t>
      </w:r>
      <w:r>
        <w:rPr>
          <w:rFonts w:hint="eastAsia" w:ascii="Times New Roman" w:hAnsi="Times New Roman"/>
        </w:rPr>
        <w:t>，</w:t>
      </w:r>
      <w:r>
        <w:rPr>
          <w:rFonts w:ascii="Times New Roman" w:hAnsi="Times New Roman"/>
        </w:rPr>
        <w:t>稳定周边河道主流位置</w:t>
      </w:r>
      <w:r>
        <w:rPr>
          <w:rFonts w:hint="eastAsia" w:ascii="Times New Roman" w:hAnsi="Times New Roman"/>
        </w:rPr>
        <w:t>，恢复滩涂</w:t>
      </w:r>
      <w:r>
        <w:rPr>
          <w:rFonts w:ascii="Times New Roman" w:hAnsi="Times New Roman"/>
        </w:rPr>
        <w:t>按平均整理厚度</w:t>
      </w:r>
      <w:r>
        <w:rPr>
          <w:rFonts w:hint="eastAsia" w:ascii="Times New Roman" w:hAnsi="Times New Roman"/>
        </w:rPr>
        <w:t>0.5m，进行卵石压盖；草</w:t>
      </w:r>
      <w:r>
        <w:rPr>
          <w:rFonts w:ascii="Times New Roman" w:hAnsi="Times New Roman"/>
        </w:rPr>
        <w:t>地按照0.</w:t>
      </w:r>
      <w:r>
        <w:rPr>
          <w:rFonts w:hint="eastAsia" w:ascii="Times New Roman" w:hAnsi="Times New Roman"/>
        </w:rPr>
        <w:t>15</w:t>
      </w:r>
      <w:r>
        <w:rPr>
          <w:rFonts w:ascii="Times New Roman" w:hAnsi="Times New Roman"/>
        </w:rPr>
        <w:t>m</w:t>
      </w:r>
      <w:r>
        <w:rPr>
          <w:rFonts w:ascii="Times New Roman" w:hAnsi="Times New Roman"/>
          <w:vertAlign w:val="superscript"/>
        </w:rPr>
        <w:t>3</w:t>
      </w:r>
      <w:r>
        <w:rPr>
          <w:rFonts w:ascii="Times New Roman" w:hAnsi="Times New Roman"/>
        </w:rPr>
        <w:t>/ m</w:t>
      </w:r>
      <w:r>
        <w:rPr>
          <w:rFonts w:ascii="Times New Roman" w:hAnsi="Times New Roman"/>
          <w:vertAlign w:val="superscript"/>
        </w:rPr>
        <w:t>2</w:t>
      </w:r>
      <w:r>
        <w:rPr>
          <w:rFonts w:ascii="Times New Roman" w:hAnsi="Times New Roman"/>
        </w:rPr>
        <w:t>的标准进行平整，覆土标准</w:t>
      </w:r>
      <w:r>
        <w:rPr>
          <w:rFonts w:hint="eastAsia" w:ascii="Times New Roman" w:hAnsi="Times New Roman"/>
        </w:rPr>
        <w:t>0.3</w:t>
      </w:r>
      <w:r>
        <w:rPr>
          <w:rFonts w:ascii="Times New Roman" w:hAnsi="Times New Roman"/>
        </w:rPr>
        <w:t>m</w:t>
      </w:r>
      <w:r>
        <w:rPr>
          <w:rFonts w:hint="eastAsia" w:ascii="Times New Roman" w:hAnsi="Times New Roman"/>
        </w:rPr>
        <w:t>；</w:t>
      </w:r>
    </w:p>
    <w:p>
      <w:pPr>
        <w:pStyle w:val="28"/>
        <w:ind w:firstLine="480" w:firstLineChars="200"/>
        <w:rPr>
          <w:rFonts w:ascii="Times New Roman" w:hAnsi="Times New Roman"/>
        </w:rPr>
      </w:pPr>
      <w:r>
        <w:rPr>
          <w:rFonts w:ascii="Times New Roman" w:hAnsi="Times New Roman"/>
        </w:rPr>
        <w:t>（</w:t>
      </w:r>
      <w:r>
        <w:rPr>
          <w:rFonts w:hint="eastAsia" w:ascii="Times New Roman" w:hAnsi="Times New Roman"/>
        </w:rPr>
        <w:t>2</w:t>
      </w:r>
      <w:r>
        <w:rPr>
          <w:rFonts w:ascii="Times New Roman" w:hAnsi="Times New Roman"/>
        </w:rPr>
        <w:t>）植被重建工程</w:t>
      </w:r>
    </w:p>
    <w:p>
      <w:pPr>
        <w:pStyle w:val="28"/>
        <w:ind w:firstLine="480" w:firstLineChars="200"/>
        <w:rPr>
          <w:rFonts w:ascii="Times New Roman" w:hAnsi="Times New Roman" w:cs="Times New Roman"/>
        </w:rPr>
      </w:pPr>
      <w:r>
        <w:rPr>
          <w:rFonts w:hint="eastAsia" w:ascii="Times New Roman" w:hAnsi="Times New Roman" w:cs="Times New Roman"/>
        </w:rPr>
        <w:t>复垦</w:t>
      </w:r>
      <w:r>
        <w:rPr>
          <w:rFonts w:ascii="Times New Roman" w:hAnsi="Times New Roman" w:cs="Times New Roman"/>
        </w:rPr>
        <w:t>为耕地</w:t>
      </w:r>
      <w:r>
        <w:rPr>
          <w:rFonts w:hint="eastAsia" w:ascii="Times New Roman" w:hAnsi="Times New Roman" w:cs="Times New Roman"/>
        </w:rPr>
        <w:t>、</w:t>
      </w:r>
      <w:r>
        <w:rPr>
          <w:rFonts w:ascii="Times New Roman" w:hAnsi="Times New Roman" w:cs="Times New Roman"/>
        </w:rPr>
        <w:t>草地区域覆土后为改良土壤撒播绿肥，标准450kg/hm</w:t>
      </w:r>
      <w:r>
        <w:rPr>
          <w:rFonts w:ascii="Times New Roman" w:hAnsi="Times New Roman" w:cs="Times New Roman"/>
          <w:vertAlign w:val="superscript"/>
        </w:rPr>
        <w:t>2</w:t>
      </w:r>
      <w:r>
        <w:rPr>
          <w:rFonts w:ascii="Times New Roman" w:hAnsi="Times New Roman" w:cs="Times New Roman"/>
        </w:rPr>
        <w:t>，进行全面翻耕</w:t>
      </w:r>
      <w:r>
        <w:rPr>
          <w:rFonts w:hint="eastAsia" w:ascii="Times New Roman" w:hAnsi="Times New Roman" w:cs="Times New Roman"/>
        </w:rPr>
        <w:t>，</w:t>
      </w:r>
      <w:r>
        <w:rPr>
          <w:rFonts w:ascii="Times New Roman" w:hAnsi="Times New Roman" w:cs="Times New Roman"/>
        </w:rPr>
        <w:t>然后草地区域撒播紫花苜蓿，种植密度为30kg/hm</w:t>
      </w:r>
      <w:r>
        <w:rPr>
          <w:rFonts w:ascii="Times New Roman" w:hAnsi="Times New Roman" w:cs="Times New Roman"/>
          <w:vertAlign w:val="superscript"/>
        </w:rPr>
        <w:t>2</w:t>
      </w:r>
      <w:r>
        <w:rPr>
          <w:rFonts w:ascii="Times New Roman" w:hAnsi="Times New Roman" w:cs="Times New Roman"/>
        </w:rPr>
        <w:t>。</w:t>
      </w:r>
    </w:p>
    <w:tbl>
      <w:tblPr>
        <w:tblStyle w:val="21"/>
        <w:tblW w:w="0" w:type="auto"/>
        <w:jc w:val="center"/>
        <w:tblLayout w:type="fixed"/>
        <w:tblCellMar>
          <w:top w:w="15" w:type="dxa"/>
          <w:left w:w="15" w:type="dxa"/>
          <w:bottom w:w="15" w:type="dxa"/>
          <w:right w:w="15" w:type="dxa"/>
        </w:tblCellMar>
      </w:tblPr>
      <w:tblGrid>
        <w:gridCol w:w="2014"/>
        <w:gridCol w:w="1701"/>
        <w:gridCol w:w="1985"/>
        <w:gridCol w:w="2636"/>
      </w:tblGrid>
      <w:tr>
        <w:tblPrEx>
          <w:tblCellMar>
            <w:top w:w="15" w:type="dxa"/>
            <w:left w:w="15" w:type="dxa"/>
            <w:bottom w:w="15" w:type="dxa"/>
            <w:right w:w="15" w:type="dxa"/>
          </w:tblCellMar>
        </w:tblPrEx>
        <w:trPr>
          <w:trHeight w:val="300" w:hRule="atLeast"/>
          <w:jc w:val="center"/>
        </w:trPr>
        <w:tc>
          <w:tcPr>
            <w:tcW w:w="8336" w:type="dxa"/>
            <w:gridSpan w:val="4"/>
            <w:tcBorders>
              <w:bottom w:val="single" w:color="auto" w:sz="4" w:space="0"/>
            </w:tcBorders>
            <w:vAlign w:val="center"/>
          </w:tcPr>
          <w:p>
            <w:pPr>
              <w:widowControl/>
              <w:spacing w:line="240" w:lineRule="atLeast"/>
              <w:ind w:firstLine="562"/>
              <w:jc w:val="center"/>
              <w:textAlignment w:val="center"/>
              <w:rPr>
                <w:color w:val="000000"/>
                <w:szCs w:val="24"/>
              </w:rPr>
            </w:pPr>
            <w:r>
              <w:rPr>
                <w:rFonts w:hint="eastAsia"/>
                <w:b/>
                <w:bCs/>
                <w:color w:val="000000"/>
                <w:kern w:val="0"/>
                <w:szCs w:val="24"/>
              </w:rPr>
              <w:t>生产生活区</w:t>
            </w:r>
            <w:r>
              <w:rPr>
                <w:b/>
                <w:bCs/>
                <w:color w:val="000000"/>
                <w:kern w:val="0"/>
                <w:szCs w:val="24"/>
              </w:rPr>
              <w:t>复垦情况表表</w:t>
            </w:r>
            <w:r>
              <w:rPr>
                <w:rFonts w:hint="eastAsia"/>
                <w:b/>
                <w:bCs/>
                <w:color w:val="000000"/>
                <w:kern w:val="0"/>
                <w:szCs w:val="24"/>
              </w:rPr>
              <w:t>6-8</w:t>
            </w:r>
          </w:p>
        </w:tc>
      </w:tr>
      <w:tr>
        <w:tblPrEx>
          <w:tblCellMar>
            <w:top w:w="15" w:type="dxa"/>
            <w:left w:w="15" w:type="dxa"/>
            <w:bottom w:w="15" w:type="dxa"/>
            <w:right w:w="15" w:type="dxa"/>
          </w:tblCellMar>
        </w:tblPrEx>
        <w:trPr>
          <w:trHeight w:val="340" w:hRule="atLeast"/>
          <w:jc w:val="center"/>
        </w:trPr>
        <w:tc>
          <w:tcPr>
            <w:tcW w:w="2014"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color w:val="000000"/>
                <w:kern w:val="0"/>
                <w:szCs w:val="24"/>
              </w:rPr>
              <w:t>复垦单元</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color w:val="000000"/>
                <w:kern w:val="0"/>
                <w:szCs w:val="24"/>
              </w:rPr>
              <w:t>复垦面积（hm</w:t>
            </w:r>
            <w:r>
              <w:rPr>
                <w:color w:val="000000"/>
                <w:kern w:val="0"/>
                <w:szCs w:val="24"/>
                <w:vertAlign w:val="superscript"/>
              </w:rPr>
              <w:t>2</w:t>
            </w:r>
            <w:r>
              <w:rPr>
                <w:color w:val="000000"/>
                <w:kern w:val="0"/>
                <w:szCs w:val="24"/>
              </w:rPr>
              <w:t>）</w:t>
            </w:r>
          </w:p>
        </w:tc>
        <w:tc>
          <w:tcPr>
            <w:tcW w:w="1985"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color w:val="000000"/>
                <w:kern w:val="0"/>
                <w:szCs w:val="24"/>
              </w:rPr>
              <w:t>复垦方向</w:t>
            </w:r>
          </w:p>
        </w:tc>
        <w:tc>
          <w:tcPr>
            <w:tcW w:w="2636"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color w:val="000000"/>
                <w:kern w:val="0"/>
                <w:szCs w:val="24"/>
              </w:rPr>
              <w:t>复垦工程形式</w:t>
            </w:r>
          </w:p>
        </w:tc>
      </w:tr>
      <w:tr>
        <w:tblPrEx>
          <w:tblCellMar>
            <w:top w:w="15" w:type="dxa"/>
            <w:left w:w="15" w:type="dxa"/>
            <w:bottom w:w="15" w:type="dxa"/>
            <w:right w:w="15" w:type="dxa"/>
          </w:tblCellMar>
        </w:tblPrEx>
        <w:trPr>
          <w:trHeight w:val="340" w:hRule="atLeast"/>
          <w:jc w:val="center"/>
        </w:trPr>
        <w:tc>
          <w:tcPr>
            <w:tcW w:w="2014" w:type="dxa"/>
            <w:vMerge w:val="restart"/>
            <w:tcBorders>
              <w:top w:val="single" w:color="auto" w:sz="4" w:space="0"/>
              <w:left w:val="single" w:color="auto" w:sz="4" w:space="0"/>
              <w:right w:val="single" w:color="auto" w:sz="4" w:space="0"/>
            </w:tcBorders>
            <w:vAlign w:val="center"/>
          </w:tcPr>
          <w:p>
            <w:pPr>
              <w:widowControl/>
              <w:spacing w:line="240" w:lineRule="atLeast"/>
              <w:jc w:val="center"/>
              <w:textAlignment w:val="center"/>
              <w:rPr>
                <w:color w:val="000000"/>
                <w:szCs w:val="24"/>
              </w:rPr>
            </w:pPr>
            <w:r>
              <w:rPr>
                <w:rFonts w:hint="eastAsia"/>
                <w:color w:val="000000"/>
                <w:kern w:val="0"/>
                <w:szCs w:val="24"/>
              </w:rPr>
              <w:t>生产生活区</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rFonts w:hint="eastAsia"/>
                <w:color w:val="000000"/>
                <w:szCs w:val="24"/>
              </w:rPr>
              <w:t>1.2330</w:t>
            </w:r>
          </w:p>
        </w:tc>
        <w:tc>
          <w:tcPr>
            <w:tcW w:w="1985"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color w:val="000000"/>
                <w:szCs w:val="24"/>
              </w:rPr>
              <w:t>旱地</w:t>
            </w:r>
          </w:p>
        </w:tc>
        <w:tc>
          <w:tcPr>
            <w:tcW w:w="2636"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color w:val="000000"/>
                <w:szCs w:val="24"/>
              </w:rPr>
              <w:t>覆土</w:t>
            </w:r>
            <w:r>
              <w:rPr>
                <w:rFonts w:hint="eastAsia"/>
                <w:color w:val="000000"/>
                <w:szCs w:val="24"/>
              </w:rPr>
              <w:t>、</w:t>
            </w:r>
            <w:r>
              <w:rPr>
                <w:color w:val="000000"/>
                <w:szCs w:val="24"/>
              </w:rPr>
              <w:t>平整</w:t>
            </w:r>
          </w:p>
        </w:tc>
      </w:tr>
      <w:tr>
        <w:tblPrEx>
          <w:tblCellMar>
            <w:top w:w="15" w:type="dxa"/>
            <w:left w:w="15" w:type="dxa"/>
            <w:bottom w:w="15" w:type="dxa"/>
            <w:right w:w="15" w:type="dxa"/>
          </w:tblCellMar>
        </w:tblPrEx>
        <w:trPr>
          <w:trHeight w:val="340" w:hRule="atLeast"/>
          <w:jc w:val="center"/>
        </w:trPr>
        <w:tc>
          <w:tcPr>
            <w:tcW w:w="2014" w:type="dxa"/>
            <w:vMerge w:val="continue"/>
            <w:tcBorders>
              <w:left w:val="single" w:color="auto" w:sz="4" w:space="0"/>
              <w:right w:val="single" w:color="auto" w:sz="4" w:space="0"/>
            </w:tcBorders>
            <w:vAlign w:val="center"/>
          </w:tcPr>
          <w:p>
            <w:pPr>
              <w:widowControl/>
              <w:spacing w:line="240" w:lineRule="atLeast"/>
              <w:jc w:val="center"/>
              <w:textAlignment w:val="center"/>
              <w:rPr>
                <w:color w:val="000000"/>
                <w:kern w:val="0"/>
                <w:szCs w:val="24"/>
              </w:rPr>
            </w:pP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rFonts w:hint="eastAsia"/>
                <w:color w:val="000000"/>
                <w:szCs w:val="24"/>
              </w:rPr>
              <w:t>0.4484</w:t>
            </w:r>
          </w:p>
        </w:tc>
        <w:tc>
          <w:tcPr>
            <w:tcW w:w="1985"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rFonts w:hint="eastAsia"/>
                <w:color w:val="000000"/>
                <w:kern w:val="0"/>
                <w:szCs w:val="24"/>
              </w:rPr>
              <w:t>其他</w:t>
            </w:r>
            <w:r>
              <w:rPr>
                <w:color w:val="000000"/>
                <w:kern w:val="0"/>
                <w:szCs w:val="24"/>
              </w:rPr>
              <w:t>草地</w:t>
            </w:r>
          </w:p>
        </w:tc>
        <w:tc>
          <w:tcPr>
            <w:tcW w:w="2636"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color w:val="000000"/>
                <w:kern w:val="0"/>
                <w:szCs w:val="24"/>
              </w:rPr>
              <w:t>撒播紫花苜蓿</w:t>
            </w:r>
          </w:p>
        </w:tc>
      </w:tr>
      <w:tr>
        <w:tblPrEx>
          <w:tblCellMar>
            <w:top w:w="15" w:type="dxa"/>
            <w:left w:w="15" w:type="dxa"/>
            <w:bottom w:w="15" w:type="dxa"/>
            <w:right w:w="15" w:type="dxa"/>
          </w:tblCellMar>
        </w:tblPrEx>
        <w:trPr>
          <w:trHeight w:val="340" w:hRule="atLeast"/>
          <w:jc w:val="center"/>
        </w:trPr>
        <w:tc>
          <w:tcPr>
            <w:tcW w:w="2014" w:type="dxa"/>
            <w:vMerge w:val="continue"/>
            <w:tcBorders>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kern w:val="0"/>
                <w:szCs w:val="24"/>
              </w:rPr>
            </w:pP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rFonts w:hint="eastAsia"/>
                <w:color w:val="000000"/>
                <w:szCs w:val="24"/>
              </w:rPr>
              <w:t>0.4727</w:t>
            </w:r>
          </w:p>
        </w:tc>
        <w:tc>
          <w:tcPr>
            <w:tcW w:w="1985"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kern w:val="0"/>
                <w:szCs w:val="24"/>
              </w:rPr>
            </w:pPr>
            <w:r>
              <w:rPr>
                <w:color w:val="000000"/>
                <w:kern w:val="0"/>
                <w:szCs w:val="24"/>
              </w:rPr>
              <w:t>内陆滩涂</w:t>
            </w:r>
          </w:p>
        </w:tc>
        <w:tc>
          <w:tcPr>
            <w:tcW w:w="2636"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kern w:val="0"/>
                <w:szCs w:val="24"/>
              </w:rPr>
            </w:pPr>
            <w:r>
              <w:rPr>
                <w:color w:val="000000"/>
                <w:kern w:val="0"/>
                <w:szCs w:val="24"/>
              </w:rPr>
              <w:t>清理河道</w:t>
            </w:r>
            <w:r>
              <w:rPr>
                <w:rFonts w:hint="eastAsia"/>
                <w:color w:val="000000"/>
                <w:kern w:val="0"/>
                <w:szCs w:val="24"/>
              </w:rPr>
              <w:t>、</w:t>
            </w:r>
            <w:r>
              <w:rPr>
                <w:color w:val="000000"/>
                <w:kern w:val="0"/>
                <w:szCs w:val="24"/>
              </w:rPr>
              <w:t>卵石压盖</w:t>
            </w:r>
          </w:p>
        </w:tc>
      </w:tr>
    </w:tbl>
    <w:p>
      <w:pPr>
        <w:pStyle w:val="28"/>
        <w:ind w:firstLine="480" w:firstLineChars="200"/>
        <w:rPr>
          <w:rFonts w:ascii="Times New Roman" w:hAnsi="Times New Roman"/>
        </w:rPr>
      </w:pPr>
      <w:r>
        <w:rPr>
          <w:rFonts w:hint="eastAsia" w:ascii="Times New Roman" w:hAnsi="Times New Roman"/>
        </w:rPr>
        <w:t>矿山</w:t>
      </w:r>
      <w:r>
        <w:rPr>
          <w:rFonts w:ascii="Times New Roman" w:hAnsi="Times New Roman"/>
        </w:rPr>
        <w:t>道路复垦设计</w:t>
      </w:r>
    </w:p>
    <w:p>
      <w:pPr>
        <w:pStyle w:val="28"/>
        <w:ind w:firstLine="480" w:firstLineChars="200"/>
        <w:rPr>
          <w:rFonts w:ascii="Times New Roman" w:hAnsi="Times New Roman" w:cs="Times New Roman"/>
        </w:rPr>
      </w:pPr>
      <w:r>
        <w:rPr>
          <w:rFonts w:ascii="Times New Roman" w:hAnsi="Times New Roman" w:cs="Times New Roman"/>
        </w:rPr>
        <w:t>矿山道路用于矿区交通运输，根据设计复垦区运矿道路主要以碎石路为主，矿区道路路宽3m左右，长度约</w:t>
      </w:r>
      <w:r>
        <w:rPr>
          <w:rFonts w:hint="eastAsia" w:ascii="Times New Roman" w:hAnsi="Times New Roman" w:cs="Times New Roman"/>
        </w:rPr>
        <w:t>1060</w:t>
      </w:r>
      <w:r>
        <w:rPr>
          <w:rFonts w:ascii="Times New Roman" w:hAnsi="Times New Roman" w:cs="Times New Roman"/>
        </w:rPr>
        <w:t>m，可以在矿区服务期满后留作</w:t>
      </w:r>
      <w:r>
        <w:rPr>
          <w:rFonts w:hint="eastAsia" w:ascii="Times New Roman" w:hAnsi="Times New Roman" w:cs="Times New Roman"/>
        </w:rPr>
        <w:t>林</w:t>
      </w:r>
      <w:r>
        <w:rPr>
          <w:rFonts w:ascii="Times New Roman" w:hAnsi="Times New Roman" w:cs="Times New Roman"/>
        </w:rPr>
        <w:t>间道路，本方案不对路面进行设计，仅在复垦中在道路两侧坑栽植行道树，防风护路。栽植树种选用带土球的油松，株距为2m</w:t>
      </w:r>
      <w:r>
        <w:rPr>
          <w:rFonts w:hint="eastAsia" w:ascii="Times New Roman" w:hAnsi="Times New Roman" w:cs="Times New Roman"/>
        </w:rPr>
        <w:t>，</w:t>
      </w:r>
      <w:r>
        <w:rPr>
          <w:rFonts w:ascii="Times New Roman" w:hAnsi="Times New Roman" w:cs="Times New Roman"/>
        </w:rPr>
        <w:t>坑种规格</w:t>
      </w:r>
      <w:r>
        <w:rPr>
          <w:rFonts w:hint="eastAsia" w:ascii="Times New Roman" w:hAnsi="Times New Roman" w:cs="Times New Roman"/>
        </w:rPr>
        <w:t>0.8m*0.8m*0.8m，油松规格胸径6-8cm，高度80-100 cm</w:t>
      </w:r>
      <w:r>
        <w:rPr>
          <w:rFonts w:ascii="Times New Roman" w:hAnsi="Times New Roman" w:cs="Times New Roman"/>
        </w:rPr>
        <w:t>。通往新建工业场地及办公区的道路原地类为内陆滩涂</w:t>
      </w:r>
      <w:r>
        <w:rPr>
          <w:rFonts w:hint="eastAsia" w:ascii="Times New Roman" w:hAnsi="Times New Roman" w:cs="Times New Roman"/>
        </w:rPr>
        <w:t>，</w:t>
      </w:r>
      <w:r>
        <w:rPr>
          <w:rFonts w:ascii="Times New Roman" w:hAnsi="Times New Roman" w:cs="Times New Roman"/>
        </w:rPr>
        <w:t>本方案设计将该区域恢复原地类</w:t>
      </w:r>
      <w:r>
        <w:rPr>
          <w:rFonts w:hint="eastAsia" w:ascii="Times New Roman" w:hAnsi="Times New Roman" w:cs="Times New Roman"/>
        </w:rPr>
        <w:t>。矿山道路复垦为其他林地（防护林）面积为0.5166</w:t>
      </w:r>
      <w:r>
        <w:rPr>
          <w:rFonts w:ascii="Times New Roman" w:hAnsi="Times New Roman" w:cs="Times New Roman"/>
        </w:rPr>
        <w:t xml:space="preserve"> hm</w:t>
      </w:r>
      <w:r>
        <w:rPr>
          <w:rFonts w:ascii="Times New Roman" w:hAnsi="Times New Roman" w:cs="Times New Roman"/>
          <w:vertAlign w:val="superscript"/>
        </w:rPr>
        <w:t>2</w:t>
      </w:r>
      <w:r>
        <w:rPr>
          <w:rFonts w:hint="eastAsia" w:ascii="Times New Roman" w:hAnsi="Times New Roman" w:cs="Times New Roman"/>
        </w:rPr>
        <w:t>，</w:t>
      </w:r>
      <w:r>
        <w:rPr>
          <w:rFonts w:ascii="Times New Roman" w:hAnsi="Times New Roman" w:cs="Times New Roman"/>
        </w:rPr>
        <w:t>恢复为内陆滩涂面积为</w:t>
      </w:r>
      <w:r>
        <w:rPr>
          <w:rFonts w:hint="eastAsia" w:ascii="Times New Roman" w:hAnsi="Times New Roman" w:cs="Times New Roman"/>
        </w:rPr>
        <w:t>0.0170</w:t>
      </w:r>
      <w:r>
        <w:rPr>
          <w:rFonts w:ascii="Times New Roman" w:hAnsi="Times New Roman" w:cs="Times New Roman"/>
        </w:rPr>
        <w:t xml:space="preserve"> hm</w:t>
      </w:r>
      <w:r>
        <w:rPr>
          <w:rFonts w:ascii="Times New Roman" w:hAnsi="Times New Roman" w:cs="Times New Roman"/>
          <w:vertAlign w:val="superscript"/>
        </w:rPr>
        <w:t>2</w:t>
      </w:r>
      <w:r>
        <w:rPr>
          <w:rFonts w:ascii="Times New Roman" w:hAnsi="Times New Roman" w:cs="Times New Roman"/>
        </w:rPr>
        <w:t>。</w:t>
      </w:r>
    </w:p>
    <w:tbl>
      <w:tblPr>
        <w:tblStyle w:val="21"/>
        <w:tblW w:w="0" w:type="auto"/>
        <w:jc w:val="center"/>
        <w:tblLayout w:type="fixed"/>
        <w:tblCellMar>
          <w:top w:w="15" w:type="dxa"/>
          <w:left w:w="15" w:type="dxa"/>
          <w:bottom w:w="15" w:type="dxa"/>
          <w:right w:w="15" w:type="dxa"/>
        </w:tblCellMar>
      </w:tblPr>
      <w:tblGrid>
        <w:gridCol w:w="2014"/>
        <w:gridCol w:w="1701"/>
        <w:gridCol w:w="1985"/>
        <w:gridCol w:w="2636"/>
      </w:tblGrid>
      <w:tr>
        <w:tblPrEx>
          <w:tblCellMar>
            <w:top w:w="15" w:type="dxa"/>
            <w:left w:w="15" w:type="dxa"/>
            <w:bottom w:w="15" w:type="dxa"/>
            <w:right w:w="15" w:type="dxa"/>
          </w:tblCellMar>
        </w:tblPrEx>
        <w:trPr>
          <w:trHeight w:val="300" w:hRule="atLeast"/>
          <w:jc w:val="center"/>
        </w:trPr>
        <w:tc>
          <w:tcPr>
            <w:tcW w:w="8336" w:type="dxa"/>
            <w:gridSpan w:val="4"/>
            <w:tcBorders>
              <w:bottom w:val="single" w:color="auto" w:sz="4" w:space="0"/>
            </w:tcBorders>
            <w:vAlign w:val="center"/>
          </w:tcPr>
          <w:p>
            <w:pPr>
              <w:widowControl/>
              <w:spacing w:line="240" w:lineRule="atLeast"/>
              <w:ind w:firstLine="562"/>
              <w:jc w:val="center"/>
              <w:textAlignment w:val="center"/>
              <w:rPr>
                <w:color w:val="000000"/>
                <w:szCs w:val="24"/>
              </w:rPr>
            </w:pPr>
            <w:r>
              <w:rPr>
                <w:rFonts w:hint="eastAsia"/>
                <w:b/>
                <w:bCs/>
                <w:color w:val="000000"/>
                <w:kern w:val="0"/>
                <w:szCs w:val="24"/>
              </w:rPr>
              <w:t>矿山道路</w:t>
            </w:r>
            <w:r>
              <w:rPr>
                <w:b/>
                <w:bCs/>
                <w:color w:val="000000"/>
                <w:kern w:val="0"/>
                <w:szCs w:val="24"/>
              </w:rPr>
              <w:t>复垦情况表表</w:t>
            </w:r>
            <w:r>
              <w:rPr>
                <w:rFonts w:hint="eastAsia"/>
                <w:b/>
                <w:bCs/>
                <w:color w:val="000000"/>
                <w:kern w:val="0"/>
                <w:szCs w:val="24"/>
              </w:rPr>
              <w:t>6-9</w:t>
            </w:r>
          </w:p>
        </w:tc>
      </w:tr>
      <w:tr>
        <w:tblPrEx>
          <w:tblCellMar>
            <w:top w:w="15" w:type="dxa"/>
            <w:left w:w="15" w:type="dxa"/>
            <w:bottom w:w="15" w:type="dxa"/>
            <w:right w:w="15" w:type="dxa"/>
          </w:tblCellMar>
        </w:tblPrEx>
        <w:trPr>
          <w:trHeight w:val="340" w:hRule="atLeast"/>
          <w:jc w:val="center"/>
        </w:trPr>
        <w:tc>
          <w:tcPr>
            <w:tcW w:w="2014"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color w:val="000000"/>
                <w:kern w:val="0"/>
                <w:szCs w:val="24"/>
              </w:rPr>
              <w:t>复垦单元</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color w:val="000000"/>
                <w:kern w:val="0"/>
                <w:szCs w:val="24"/>
              </w:rPr>
              <w:t>复垦面积（hm</w:t>
            </w:r>
            <w:r>
              <w:rPr>
                <w:color w:val="000000"/>
                <w:kern w:val="0"/>
                <w:szCs w:val="24"/>
                <w:vertAlign w:val="superscript"/>
              </w:rPr>
              <w:t>2</w:t>
            </w:r>
            <w:r>
              <w:rPr>
                <w:color w:val="000000"/>
                <w:kern w:val="0"/>
                <w:szCs w:val="24"/>
              </w:rPr>
              <w:t>）</w:t>
            </w:r>
          </w:p>
        </w:tc>
        <w:tc>
          <w:tcPr>
            <w:tcW w:w="1985"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color w:val="000000"/>
                <w:kern w:val="0"/>
                <w:szCs w:val="24"/>
              </w:rPr>
              <w:t>复垦方向</w:t>
            </w:r>
          </w:p>
        </w:tc>
        <w:tc>
          <w:tcPr>
            <w:tcW w:w="2636"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color w:val="000000"/>
                <w:kern w:val="0"/>
                <w:szCs w:val="24"/>
              </w:rPr>
              <w:t>复垦工程形式</w:t>
            </w:r>
          </w:p>
        </w:tc>
      </w:tr>
      <w:tr>
        <w:tblPrEx>
          <w:tblCellMar>
            <w:top w:w="15" w:type="dxa"/>
            <w:left w:w="15" w:type="dxa"/>
            <w:bottom w:w="15" w:type="dxa"/>
            <w:right w:w="15" w:type="dxa"/>
          </w:tblCellMar>
        </w:tblPrEx>
        <w:trPr>
          <w:trHeight w:val="340" w:hRule="atLeast"/>
          <w:jc w:val="center"/>
        </w:trPr>
        <w:tc>
          <w:tcPr>
            <w:tcW w:w="2014" w:type="dxa"/>
            <w:vMerge w:val="restart"/>
            <w:tcBorders>
              <w:top w:val="single" w:color="auto" w:sz="4" w:space="0"/>
              <w:left w:val="single" w:color="auto" w:sz="4" w:space="0"/>
              <w:right w:val="single" w:color="auto" w:sz="4" w:space="0"/>
            </w:tcBorders>
            <w:vAlign w:val="center"/>
          </w:tcPr>
          <w:p>
            <w:pPr>
              <w:widowControl/>
              <w:spacing w:line="240" w:lineRule="atLeast"/>
              <w:jc w:val="center"/>
              <w:textAlignment w:val="center"/>
              <w:rPr>
                <w:color w:val="000000"/>
                <w:szCs w:val="24"/>
              </w:rPr>
            </w:pPr>
            <w:r>
              <w:rPr>
                <w:rFonts w:hint="eastAsia"/>
                <w:color w:val="000000"/>
                <w:kern w:val="0"/>
                <w:szCs w:val="24"/>
              </w:rPr>
              <w:t>矿山道路</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rFonts w:hint="eastAsia"/>
                <w:color w:val="000000"/>
                <w:szCs w:val="24"/>
              </w:rPr>
              <w:t>0.5166</w:t>
            </w:r>
          </w:p>
        </w:tc>
        <w:tc>
          <w:tcPr>
            <w:tcW w:w="1985"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rFonts w:hint="eastAsia"/>
                <w:color w:val="000000"/>
                <w:szCs w:val="24"/>
              </w:rPr>
              <w:t>其他</w:t>
            </w:r>
            <w:r>
              <w:rPr>
                <w:color w:val="000000"/>
                <w:szCs w:val="24"/>
              </w:rPr>
              <w:t>林地</w:t>
            </w:r>
          </w:p>
        </w:tc>
        <w:tc>
          <w:tcPr>
            <w:tcW w:w="2636"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color w:val="000000"/>
                <w:szCs w:val="24"/>
              </w:rPr>
              <w:t>坑种油松</w:t>
            </w:r>
          </w:p>
        </w:tc>
      </w:tr>
      <w:tr>
        <w:tblPrEx>
          <w:tblCellMar>
            <w:top w:w="15" w:type="dxa"/>
            <w:left w:w="15" w:type="dxa"/>
            <w:bottom w:w="15" w:type="dxa"/>
            <w:right w:w="15" w:type="dxa"/>
          </w:tblCellMar>
        </w:tblPrEx>
        <w:trPr>
          <w:trHeight w:val="340" w:hRule="atLeast"/>
          <w:jc w:val="center"/>
        </w:trPr>
        <w:tc>
          <w:tcPr>
            <w:tcW w:w="2014" w:type="dxa"/>
            <w:vMerge w:val="continue"/>
            <w:tcBorders>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kern w:val="0"/>
                <w:szCs w:val="24"/>
              </w:rPr>
            </w:pP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szCs w:val="24"/>
              </w:rPr>
            </w:pPr>
            <w:r>
              <w:rPr>
                <w:rFonts w:hint="eastAsia"/>
                <w:color w:val="000000"/>
                <w:szCs w:val="24"/>
              </w:rPr>
              <w:t>0.0170</w:t>
            </w:r>
          </w:p>
        </w:tc>
        <w:tc>
          <w:tcPr>
            <w:tcW w:w="1985"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kern w:val="0"/>
                <w:szCs w:val="24"/>
              </w:rPr>
            </w:pPr>
            <w:r>
              <w:rPr>
                <w:color w:val="000000"/>
                <w:kern w:val="0"/>
                <w:szCs w:val="24"/>
              </w:rPr>
              <w:t>内陆滩涂</w:t>
            </w:r>
          </w:p>
        </w:tc>
        <w:tc>
          <w:tcPr>
            <w:tcW w:w="2636"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textAlignment w:val="center"/>
              <w:rPr>
                <w:color w:val="000000"/>
                <w:kern w:val="0"/>
                <w:szCs w:val="24"/>
              </w:rPr>
            </w:pPr>
            <w:r>
              <w:rPr>
                <w:color w:val="000000"/>
                <w:kern w:val="0"/>
                <w:szCs w:val="24"/>
              </w:rPr>
              <w:t>清理河道</w:t>
            </w:r>
            <w:r>
              <w:rPr>
                <w:rFonts w:hint="eastAsia"/>
                <w:color w:val="000000"/>
                <w:kern w:val="0"/>
                <w:szCs w:val="24"/>
              </w:rPr>
              <w:t>、</w:t>
            </w:r>
            <w:r>
              <w:rPr>
                <w:color w:val="000000"/>
                <w:kern w:val="0"/>
                <w:szCs w:val="24"/>
              </w:rPr>
              <w:t>卵石压盖</w:t>
            </w:r>
          </w:p>
        </w:tc>
      </w:tr>
    </w:tbl>
    <w:p>
      <w:pPr>
        <w:adjustRightInd w:val="0"/>
        <w:snapToGrid w:val="0"/>
        <w:spacing w:line="560" w:lineRule="exact"/>
        <w:ind w:firstLine="482" w:firstLineChars="200"/>
        <w:jc w:val="center"/>
        <w:rPr>
          <w:b/>
          <w:szCs w:val="24"/>
        </w:rPr>
      </w:pPr>
      <w:r>
        <w:rPr>
          <w:b/>
          <w:szCs w:val="24"/>
        </w:rPr>
        <w:t>矿山地质环境防治工程量</w:t>
      </w:r>
      <w:r>
        <w:rPr>
          <w:rFonts w:hint="eastAsia"/>
          <w:b/>
          <w:szCs w:val="24"/>
        </w:rPr>
        <w:t>汇总</w:t>
      </w:r>
      <w:r>
        <w:rPr>
          <w:b/>
          <w:szCs w:val="24"/>
        </w:rPr>
        <w:t>表     表</w:t>
      </w:r>
      <w:r>
        <w:rPr>
          <w:rFonts w:hint="eastAsia"/>
          <w:b/>
          <w:szCs w:val="24"/>
        </w:rPr>
        <w:t>6-10</w:t>
      </w:r>
    </w:p>
    <w:tbl>
      <w:tblPr>
        <w:tblStyle w:val="21"/>
        <w:tblW w:w="430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9"/>
        <w:gridCol w:w="4067"/>
        <w:gridCol w:w="873"/>
        <w:gridCol w:w="1017"/>
        <w:gridCol w:w="8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3300" w:type="pct"/>
            <w:gridSpan w:val="2"/>
            <w:shd w:val="clear" w:color="auto" w:fill="auto"/>
            <w:vAlign w:val="center"/>
          </w:tcPr>
          <w:p>
            <w:pPr>
              <w:widowControl/>
              <w:adjustRightInd w:val="0"/>
              <w:snapToGrid w:val="0"/>
              <w:jc w:val="center"/>
              <w:rPr>
                <w:kern w:val="0"/>
                <w:szCs w:val="24"/>
              </w:rPr>
            </w:pPr>
            <w:r>
              <w:rPr>
                <w:kern w:val="0"/>
                <w:szCs w:val="24"/>
              </w:rPr>
              <w:t>项目名称</w:t>
            </w:r>
          </w:p>
        </w:tc>
        <w:tc>
          <w:tcPr>
            <w:tcW w:w="546" w:type="pct"/>
            <w:shd w:val="clear" w:color="auto" w:fill="auto"/>
            <w:vAlign w:val="center"/>
          </w:tcPr>
          <w:p>
            <w:pPr>
              <w:widowControl/>
              <w:adjustRightInd w:val="0"/>
              <w:snapToGrid w:val="0"/>
              <w:jc w:val="center"/>
              <w:rPr>
                <w:kern w:val="0"/>
                <w:szCs w:val="24"/>
              </w:rPr>
            </w:pPr>
            <w:r>
              <w:rPr>
                <w:kern w:val="0"/>
                <w:szCs w:val="24"/>
              </w:rPr>
              <w:t>单位</w:t>
            </w:r>
          </w:p>
        </w:tc>
        <w:tc>
          <w:tcPr>
            <w:tcW w:w="636" w:type="pct"/>
            <w:shd w:val="clear" w:color="auto" w:fill="auto"/>
            <w:vAlign w:val="center"/>
          </w:tcPr>
          <w:p>
            <w:pPr>
              <w:widowControl/>
              <w:adjustRightInd w:val="0"/>
              <w:snapToGrid w:val="0"/>
              <w:jc w:val="center"/>
              <w:rPr>
                <w:kern w:val="0"/>
                <w:szCs w:val="24"/>
              </w:rPr>
            </w:pPr>
            <w:r>
              <w:rPr>
                <w:kern w:val="0"/>
                <w:szCs w:val="24"/>
              </w:rPr>
              <w:t>工程量</w:t>
            </w:r>
          </w:p>
        </w:tc>
        <w:tc>
          <w:tcPr>
            <w:tcW w:w="518" w:type="pct"/>
            <w:shd w:val="clear" w:color="auto" w:fill="auto"/>
            <w:vAlign w:val="center"/>
          </w:tcPr>
          <w:p>
            <w:pPr>
              <w:widowControl/>
              <w:adjustRightInd w:val="0"/>
              <w:snapToGrid w:val="0"/>
              <w:jc w:val="center"/>
              <w:rPr>
                <w:kern w:val="0"/>
                <w:szCs w:val="24"/>
              </w:rPr>
            </w:pPr>
            <w:r>
              <w:rPr>
                <w:kern w:val="0"/>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6" w:type="pct"/>
            <w:shd w:val="clear" w:color="auto" w:fill="auto"/>
            <w:vAlign w:val="center"/>
          </w:tcPr>
          <w:p>
            <w:pPr>
              <w:widowControl/>
              <w:adjustRightInd w:val="0"/>
              <w:snapToGrid w:val="0"/>
              <w:jc w:val="center"/>
              <w:rPr>
                <w:kern w:val="0"/>
                <w:szCs w:val="24"/>
              </w:rPr>
            </w:pPr>
            <w:r>
              <w:rPr>
                <w:kern w:val="0"/>
                <w:szCs w:val="24"/>
              </w:rPr>
              <w:t>第一部分</w:t>
            </w:r>
          </w:p>
        </w:tc>
        <w:tc>
          <w:tcPr>
            <w:tcW w:w="2544" w:type="pct"/>
            <w:shd w:val="clear" w:color="auto" w:fill="auto"/>
            <w:vAlign w:val="center"/>
          </w:tcPr>
          <w:p>
            <w:pPr>
              <w:widowControl/>
              <w:adjustRightInd w:val="0"/>
              <w:snapToGrid w:val="0"/>
              <w:ind w:left="-108" w:leftChars="-45" w:right="-98" w:rightChars="-41"/>
              <w:jc w:val="center"/>
              <w:rPr>
                <w:kern w:val="0"/>
                <w:szCs w:val="24"/>
              </w:rPr>
            </w:pPr>
            <w:r>
              <w:rPr>
                <w:kern w:val="0"/>
                <w:szCs w:val="24"/>
              </w:rPr>
              <w:t>工程措施</w:t>
            </w:r>
          </w:p>
        </w:tc>
        <w:tc>
          <w:tcPr>
            <w:tcW w:w="546" w:type="pct"/>
            <w:shd w:val="clear" w:color="auto" w:fill="auto"/>
            <w:vAlign w:val="center"/>
          </w:tcPr>
          <w:p>
            <w:pPr>
              <w:widowControl/>
              <w:adjustRightInd w:val="0"/>
              <w:snapToGrid w:val="0"/>
              <w:jc w:val="center"/>
              <w:rPr>
                <w:kern w:val="0"/>
                <w:szCs w:val="24"/>
              </w:rPr>
            </w:pPr>
          </w:p>
        </w:tc>
        <w:tc>
          <w:tcPr>
            <w:tcW w:w="636" w:type="pct"/>
            <w:shd w:val="clear" w:color="auto" w:fill="auto"/>
            <w:vAlign w:val="center"/>
          </w:tcPr>
          <w:p>
            <w:pPr>
              <w:widowControl/>
              <w:adjustRightInd w:val="0"/>
              <w:snapToGrid w:val="0"/>
              <w:jc w:val="center"/>
              <w:rPr>
                <w:kern w:val="0"/>
                <w:szCs w:val="24"/>
              </w:rPr>
            </w:pPr>
          </w:p>
        </w:tc>
        <w:tc>
          <w:tcPr>
            <w:tcW w:w="518" w:type="pct"/>
            <w:shd w:val="clear" w:color="auto" w:fill="auto"/>
            <w:vAlign w:val="center"/>
          </w:tcPr>
          <w:p>
            <w:pPr>
              <w:widowControl/>
              <w:adjustRightInd w:val="0"/>
              <w:snapToGrid w:val="0"/>
              <w:jc w:val="center"/>
              <w:rPr>
                <w:kern w:val="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6" w:type="pct"/>
            <w:shd w:val="clear" w:color="auto" w:fill="auto"/>
            <w:vAlign w:val="center"/>
          </w:tcPr>
          <w:p>
            <w:pPr>
              <w:widowControl/>
              <w:adjustRightInd w:val="0"/>
              <w:snapToGrid w:val="0"/>
              <w:jc w:val="center"/>
              <w:rPr>
                <w:kern w:val="0"/>
                <w:szCs w:val="24"/>
              </w:rPr>
            </w:pPr>
            <w:r>
              <w:rPr>
                <w:kern w:val="0"/>
                <w:szCs w:val="24"/>
              </w:rPr>
              <w:t>（一）</w:t>
            </w:r>
          </w:p>
        </w:tc>
        <w:tc>
          <w:tcPr>
            <w:tcW w:w="2544" w:type="pct"/>
            <w:shd w:val="clear" w:color="auto" w:fill="auto"/>
            <w:vAlign w:val="center"/>
          </w:tcPr>
          <w:p>
            <w:pPr>
              <w:widowControl/>
              <w:adjustRightInd w:val="0"/>
              <w:snapToGrid w:val="0"/>
              <w:ind w:left="-108" w:leftChars="-45" w:right="-98" w:rightChars="-41"/>
              <w:jc w:val="center"/>
              <w:rPr>
                <w:kern w:val="0"/>
                <w:szCs w:val="24"/>
              </w:rPr>
            </w:pPr>
            <w:r>
              <w:rPr>
                <w:kern w:val="0"/>
                <w:szCs w:val="24"/>
              </w:rPr>
              <w:t>地质灾害防治工程</w:t>
            </w:r>
          </w:p>
        </w:tc>
        <w:tc>
          <w:tcPr>
            <w:tcW w:w="546" w:type="pct"/>
            <w:shd w:val="clear" w:color="auto" w:fill="auto"/>
            <w:vAlign w:val="center"/>
          </w:tcPr>
          <w:p>
            <w:pPr>
              <w:widowControl/>
              <w:adjustRightInd w:val="0"/>
              <w:snapToGrid w:val="0"/>
              <w:jc w:val="center"/>
              <w:rPr>
                <w:kern w:val="0"/>
                <w:szCs w:val="24"/>
              </w:rPr>
            </w:pPr>
          </w:p>
        </w:tc>
        <w:tc>
          <w:tcPr>
            <w:tcW w:w="636" w:type="pct"/>
            <w:shd w:val="clear" w:color="auto" w:fill="auto"/>
            <w:vAlign w:val="center"/>
          </w:tcPr>
          <w:p>
            <w:pPr>
              <w:widowControl/>
              <w:adjustRightInd w:val="0"/>
              <w:snapToGrid w:val="0"/>
              <w:jc w:val="center"/>
              <w:rPr>
                <w:kern w:val="0"/>
                <w:szCs w:val="24"/>
              </w:rPr>
            </w:pPr>
          </w:p>
        </w:tc>
        <w:tc>
          <w:tcPr>
            <w:tcW w:w="518" w:type="pct"/>
            <w:shd w:val="clear" w:color="auto" w:fill="auto"/>
            <w:vAlign w:val="center"/>
          </w:tcPr>
          <w:p>
            <w:pPr>
              <w:widowControl/>
              <w:adjustRightInd w:val="0"/>
              <w:snapToGrid w:val="0"/>
              <w:jc w:val="center"/>
              <w:rPr>
                <w:kern w:val="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6" w:type="pct"/>
            <w:shd w:val="clear" w:color="auto" w:fill="auto"/>
            <w:vAlign w:val="center"/>
          </w:tcPr>
          <w:p>
            <w:pPr>
              <w:widowControl/>
              <w:adjustRightInd w:val="0"/>
              <w:snapToGrid w:val="0"/>
              <w:jc w:val="center"/>
              <w:rPr>
                <w:kern w:val="0"/>
                <w:szCs w:val="24"/>
              </w:rPr>
            </w:pPr>
            <w:r>
              <w:rPr>
                <w:kern w:val="0"/>
                <w:szCs w:val="24"/>
              </w:rPr>
              <w:t>1</w:t>
            </w:r>
          </w:p>
        </w:tc>
        <w:tc>
          <w:tcPr>
            <w:tcW w:w="2544" w:type="pct"/>
            <w:shd w:val="clear" w:color="auto" w:fill="auto"/>
            <w:vAlign w:val="center"/>
          </w:tcPr>
          <w:p>
            <w:pPr>
              <w:widowControl/>
              <w:adjustRightInd w:val="0"/>
              <w:snapToGrid w:val="0"/>
              <w:ind w:left="-108" w:leftChars="-45" w:right="-98" w:rightChars="-41"/>
              <w:jc w:val="center"/>
              <w:rPr>
                <w:kern w:val="0"/>
                <w:szCs w:val="24"/>
              </w:rPr>
            </w:pPr>
            <w:r>
              <w:rPr>
                <w:szCs w:val="24"/>
              </w:rPr>
              <w:t>不稳定边坡防治工程</w:t>
            </w:r>
          </w:p>
        </w:tc>
        <w:tc>
          <w:tcPr>
            <w:tcW w:w="546" w:type="pct"/>
            <w:shd w:val="clear" w:color="auto" w:fill="auto"/>
            <w:vAlign w:val="center"/>
          </w:tcPr>
          <w:p>
            <w:pPr>
              <w:widowControl/>
              <w:adjustRightInd w:val="0"/>
              <w:snapToGrid w:val="0"/>
              <w:jc w:val="center"/>
              <w:rPr>
                <w:kern w:val="0"/>
                <w:szCs w:val="24"/>
              </w:rPr>
            </w:pPr>
            <w:r>
              <w:rPr>
                <w:kern w:val="0"/>
                <w:szCs w:val="24"/>
              </w:rPr>
              <w:t>m</w:t>
            </w:r>
            <w:r>
              <w:rPr>
                <w:kern w:val="0"/>
                <w:szCs w:val="24"/>
                <w:vertAlign w:val="superscript"/>
              </w:rPr>
              <w:t>3</w:t>
            </w:r>
          </w:p>
        </w:tc>
        <w:tc>
          <w:tcPr>
            <w:tcW w:w="636" w:type="pct"/>
            <w:shd w:val="clear" w:color="auto" w:fill="auto"/>
            <w:vAlign w:val="center"/>
          </w:tcPr>
          <w:p>
            <w:pPr>
              <w:widowControl/>
              <w:adjustRightInd w:val="0"/>
              <w:snapToGrid w:val="0"/>
              <w:jc w:val="center"/>
              <w:rPr>
                <w:kern w:val="0"/>
                <w:szCs w:val="24"/>
              </w:rPr>
            </w:pPr>
            <w:r>
              <w:rPr>
                <w:kern w:val="0"/>
                <w:szCs w:val="24"/>
              </w:rPr>
              <w:t>240</w:t>
            </w:r>
          </w:p>
        </w:tc>
        <w:tc>
          <w:tcPr>
            <w:tcW w:w="518" w:type="pct"/>
            <w:shd w:val="clear" w:color="auto" w:fill="auto"/>
            <w:vAlign w:val="center"/>
          </w:tcPr>
          <w:p>
            <w:pPr>
              <w:widowControl/>
              <w:adjustRightInd w:val="0"/>
              <w:snapToGrid w:val="0"/>
              <w:jc w:val="center"/>
              <w:rPr>
                <w:kern w:val="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6" w:type="pct"/>
            <w:shd w:val="clear" w:color="auto" w:fill="auto"/>
            <w:vAlign w:val="center"/>
          </w:tcPr>
          <w:p>
            <w:pPr>
              <w:widowControl/>
              <w:adjustRightInd w:val="0"/>
              <w:snapToGrid w:val="0"/>
              <w:jc w:val="center"/>
              <w:rPr>
                <w:kern w:val="0"/>
                <w:szCs w:val="24"/>
              </w:rPr>
            </w:pPr>
            <w:r>
              <w:rPr>
                <w:kern w:val="0"/>
                <w:szCs w:val="24"/>
              </w:rPr>
              <w:t>2</w:t>
            </w:r>
          </w:p>
        </w:tc>
        <w:tc>
          <w:tcPr>
            <w:tcW w:w="2544" w:type="pct"/>
            <w:shd w:val="clear" w:color="auto" w:fill="auto"/>
            <w:vAlign w:val="center"/>
          </w:tcPr>
          <w:p>
            <w:pPr>
              <w:widowControl/>
              <w:adjustRightInd w:val="0"/>
              <w:snapToGrid w:val="0"/>
              <w:ind w:left="-108" w:leftChars="-45" w:right="-98" w:rightChars="-41"/>
              <w:jc w:val="center"/>
              <w:rPr>
                <w:szCs w:val="24"/>
              </w:rPr>
            </w:pPr>
            <w:r>
              <w:rPr>
                <w:szCs w:val="24"/>
              </w:rPr>
              <w:t>修建排水沟</w:t>
            </w:r>
          </w:p>
        </w:tc>
        <w:tc>
          <w:tcPr>
            <w:tcW w:w="546" w:type="pct"/>
            <w:shd w:val="clear" w:color="auto" w:fill="auto"/>
            <w:vAlign w:val="center"/>
          </w:tcPr>
          <w:p>
            <w:pPr>
              <w:widowControl/>
              <w:adjustRightInd w:val="0"/>
              <w:snapToGrid w:val="0"/>
              <w:jc w:val="center"/>
              <w:rPr>
                <w:kern w:val="0"/>
                <w:szCs w:val="24"/>
              </w:rPr>
            </w:pPr>
            <w:r>
              <w:rPr>
                <w:kern w:val="0"/>
                <w:szCs w:val="24"/>
              </w:rPr>
              <w:t>m</w:t>
            </w:r>
            <w:r>
              <w:rPr>
                <w:kern w:val="0"/>
                <w:szCs w:val="24"/>
                <w:vertAlign w:val="superscript"/>
              </w:rPr>
              <w:t>3</w:t>
            </w:r>
          </w:p>
        </w:tc>
        <w:tc>
          <w:tcPr>
            <w:tcW w:w="636" w:type="pct"/>
            <w:shd w:val="clear" w:color="auto" w:fill="auto"/>
            <w:vAlign w:val="center"/>
          </w:tcPr>
          <w:p>
            <w:pPr>
              <w:widowControl/>
              <w:adjustRightInd w:val="0"/>
              <w:snapToGrid w:val="0"/>
              <w:jc w:val="center"/>
              <w:rPr>
                <w:kern w:val="0"/>
                <w:szCs w:val="24"/>
              </w:rPr>
            </w:pPr>
            <w:r>
              <w:rPr>
                <w:kern w:val="0"/>
                <w:szCs w:val="24"/>
              </w:rPr>
              <w:t>85</w:t>
            </w:r>
          </w:p>
        </w:tc>
        <w:tc>
          <w:tcPr>
            <w:tcW w:w="518" w:type="pct"/>
            <w:shd w:val="clear" w:color="auto" w:fill="auto"/>
            <w:vAlign w:val="center"/>
          </w:tcPr>
          <w:p>
            <w:pPr>
              <w:widowControl/>
              <w:adjustRightInd w:val="0"/>
              <w:snapToGrid w:val="0"/>
              <w:jc w:val="center"/>
              <w:rPr>
                <w:kern w:val="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6" w:type="pct"/>
            <w:shd w:val="clear" w:color="auto" w:fill="auto"/>
            <w:vAlign w:val="center"/>
          </w:tcPr>
          <w:p>
            <w:pPr>
              <w:widowControl/>
              <w:adjustRightInd w:val="0"/>
              <w:snapToGrid w:val="0"/>
              <w:jc w:val="center"/>
              <w:rPr>
                <w:kern w:val="0"/>
                <w:szCs w:val="24"/>
              </w:rPr>
            </w:pPr>
            <w:r>
              <w:rPr>
                <w:kern w:val="0"/>
                <w:szCs w:val="24"/>
              </w:rPr>
              <w:t>3</w:t>
            </w:r>
          </w:p>
        </w:tc>
        <w:tc>
          <w:tcPr>
            <w:tcW w:w="2544" w:type="pct"/>
            <w:shd w:val="clear" w:color="auto" w:fill="auto"/>
            <w:vAlign w:val="center"/>
          </w:tcPr>
          <w:p>
            <w:pPr>
              <w:widowControl/>
              <w:adjustRightInd w:val="0"/>
              <w:snapToGrid w:val="0"/>
              <w:ind w:left="-108" w:leftChars="-45" w:right="-98" w:rightChars="-41"/>
              <w:jc w:val="center"/>
              <w:rPr>
                <w:szCs w:val="24"/>
              </w:rPr>
            </w:pPr>
            <w:r>
              <w:rPr>
                <w:szCs w:val="24"/>
              </w:rPr>
              <w:t>修建挡渣墙</w:t>
            </w:r>
          </w:p>
        </w:tc>
        <w:tc>
          <w:tcPr>
            <w:tcW w:w="546" w:type="pct"/>
            <w:shd w:val="clear" w:color="auto" w:fill="auto"/>
            <w:vAlign w:val="center"/>
          </w:tcPr>
          <w:p>
            <w:pPr>
              <w:widowControl/>
              <w:adjustRightInd w:val="0"/>
              <w:snapToGrid w:val="0"/>
              <w:jc w:val="center"/>
              <w:rPr>
                <w:kern w:val="0"/>
                <w:szCs w:val="24"/>
              </w:rPr>
            </w:pPr>
            <w:r>
              <w:rPr>
                <w:kern w:val="0"/>
                <w:szCs w:val="24"/>
              </w:rPr>
              <w:t>m</w:t>
            </w:r>
            <w:r>
              <w:rPr>
                <w:kern w:val="0"/>
                <w:szCs w:val="24"/>
                <w:vertAlign w:val="superscript"/>
              </w:rPr>
              <w:t>3</w:t>
            </w:r>
          </w:p>
        </w:tc>
        <w:tc>
          <w:tcPr>
            <w:tcW w:w="636" w:type="pct"/>
            <w:shd w:val="clear" w:color="auto" w:fill="auto"/>
            <w:vAlign w:val="center"/>
          </w:tcPr>
          <w:p>
            <w:pPr>
              <w:widowControl/>
              <w:adjustRightInd w:val="0"/>
              <w:snapToGrid w:val="0"/>
              <w:jc w:val="center"/>
              <w:rPr>
                <w:kern w:val="0"/>
                <w:szCs w:val="24"/>
              </w:rPr>
            </w:pPr>
            <w:r>
              <w:rPr>
                <w:kern w:val="0"/>
                <w:szCs w:val="24"/>
              </w:rPr>
              <w:t>116</w:t>
            </w:r>
          </w:p>
        </w:tc>
        <w:tc>
          <w:tcPr>
            <w:tcW w:w="518" w:type="pct"/>
            <w:shd w:val="clear" w:color="auto" w:fill="auto"/>
            <w:vAlign w:val="center"/>
          </w:tcPr>
          <w:p>
            <w:pPr>
              <w:widowControl/>
              <w:adjustRightInd w:val="0"/>
              <w:snapToGrid w:val="0"/>
              <w:jc w:val="center"/>
              <w:rPr>
                <w:kern w:val="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6" w:type="pct"/>
            <w:shd w:val="clear" w:color="auto" w:fill="auto"/>
            <w:vAlign w:val="center"/>
          </w:tcPr>
          <w:p>
            <w:pPr>
              <w:widowControl/>
              <w:adjustRightInd w:val="0"/>
              <w:snapToGrid w:val="0"/>
              <w:jc w:val="center"/>
              <w:rPr>
                <w:kern w:val="0"/>
                <w:szCs w:val="24"/>
              </w:rPr>
            </w:pPr>
            <w:r>
              <w:rPr>
                <w:kern w:val="0"/>
                <w:szCs w:val="24"/>
              </w:rPr>
              <w:t>4</w:t>
            </w:r>
          </w:p>
        </w:tc>
        <w:tc>
          <w:tcPr>
            <w:tcW w:w="2544" w:type="pct"/>
            <w:shd w:val="clear" w:color="auto" w:fill="auto"/>
            <w:vAlign w:val="center"/>
          </w:tcPr>
          <w:p>
            <w:pPr>
              <w:widowControl/>
              <w:adjustRightInd w:val="0"/>
              <w:snapToGrid w:val="0"/>
              <w:ind w:left="-108" w:leftChars="-45" w:right="-98" w:rightChars="-41"/>
              <w:jc w:val="center"/>
              <w:rPr>
                <w:szCs w:val="24"/>
              </w:rPr>
            </w:pPr>
            <w:r>
              <w:rPr>
                <w:szCs w:val="24"/>
              </w:rPr>
              <w:t>修建挡洪墙</w:t>
            </w:r>
          </w:p>
        </w:tc>
        <w:tc>
          <w:tcPr>
            <w:tcW w:w="546" w:type="pct"/>
            <w:shd w:val="clear" w:color="auto" w:fill="auto"/>
            <w:vAlign w:val="center"/>
          </w:tcPr>
          <w:p>
            <w:pPr>
              <w:widowControl/>
              <w:adjustRightInd w:val="0"/>
              <w:snapToGrid w:val="0"/>
              <w:jc w:val="center"/>
              <w:rPr>
                <w:kern w:val="0"/>
                <w:szCs w:val="24"/>
              </w:rPr>
            </w:pPr>
            <w:r>
              <w:rPr>
                <w:kern w:val="0"/>
                <w:szCs w:val="24"/>
              </w:rPr>
              <w:t>m</w:t>
            </w:r>
            <w:r>
              <w:rPr>
                <w:kern w:val="0"/>
                <w:szCs w:val="24"/>
                <w:vertAlign w:val="superscript"/>
              </w:rPr>
              <w:t>3</w:t>
            </w:r>
          </w:p>
        </w:tc>
        <w:tc>
          <w:tcPr>
            <w:tcW w:w="636" w:type="pct"/>
            <w:shd w:val="clear" w:color="auto" w:fill="auto"/>
            <w:vAlign w:val="center"/>
          </w:tcPr>
          <w:p>
            <w:pPr>
              <w:widowControl/>
              <w:adjustRightInd w:val="0"/>
              <w:snapToGrid w:val="0"/>
              <w:jc w:val="center"/>
              <w:rPr>
                <w:kern w:val="0"/>
                <w:szCs w:val="24"/>
              </w:rPr>
            </w:pPr>
            <w:r>
              <w:rPr>
                <w:rFonts w:hint="eastAsia"/>
                <w:kern w:val="0"/>
                <w:szCs w:val="24"/>
              </w:rPr>
              <w:t>138</w:t>
            </w:r>
          </w:p>
        </w:tc>
        <w:tc>
          <w:tcPr>
            <w:tcW w:w="518" w:type="pct"/>
            <w:shd w:val="clear" w:color="auto" w:fill="auto"/>
            <w:vAlign w:val="center"/>
          </w:tcPr>
          <w:p>
            <w:pPr>
              <w:widowControl/>
              <w:adjustRightInd w:val="0"/>
              <w:snapToGrid w:val="0"/>
              <w:jc w:val="center"/>
              <w:rPr>
                <w:kern w:val="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6" w:type="pct"/>
            <w:shd w:val="clear" w:color="auto" w:fill="auto"/>
            <w:vAlign w:val="center"/>
          </w:tcPr>
          <w:p>
            <w:pPr>
              <w:widowControl/>
              <w:adjustRightInd w:val="0"/>
              <w:snapToGrid w:val="0"/>
              <w:jc w:val="center"/>
              <w:rPr>
                <w:kern w:val="0"/>
                <w:szCs w:val="24"/>
              </w:rPr>
            </w:pPr>
            <w:r>
              <w:rPr>
                <w:kern w:val="0"/>
                <w:szCs w:val="24"/>
              </w:rPr>
              <w:t>5</w:t>
            </w:r>
          </w:p>
        </w:tc>
        <w:tc>
          <w:tcPr>
            <w:tcW w:w="2544" w:type="pct"/>
            <w:shd w:val="clear" w:color="auto" w:fill="auto"/>
            <w:vAlign w:val="center"/>
          </w:tcPr>
          <w:p>
            <w:pPr>
              <w:widowControl/>
              <w:adjustRightInd w:val="0"/>
              <w:snapToGrid w:val="0"/>
              <w:ind w:left="-108" w:leftChars="-45" w:right="-98" w:rightChars="-41"/>
              <w:jc w:val="center"/>
              <w:rPr>
                <w:szCs w:val="24"/>
              </w:rPr>
            </w:pPr>
          </w:p>
        </w:tc>
        <w:tc>
          <w:tcPr>
            <w:tcW w:w="546" w:type="pct"/>
            <w:shd w:val="clear" w:color="auto" w:fill="auto"/>
            <w:vAlign w:val="center"/>
          </w:tcPr>
          <w:p>
            <w:pPr>
              <w:widowControl/>
              <w:adjustRightInd w:val="0"/>
              <w:snapToGrid w:val="0"/>
              <w:jc w:val="center"/>
              <w:rPr>
                <w:kern w:val="0"/>
                <w:szCs w:val="24"/>
              </w:rPr>
            </w:pPr>
          </w:p>
        </w:tc>
        <w:tc>
          <w:tcPr>
            <w:tcW w:w="636" w:type="pct"/>
            <w:shd w:val="clear" w:color="auto" w:fill="auto"/>
            <w:vAlign w:val="center"/>
          </w:tcPr>
          <w:p>
            <w:pPr>
              <w:widowControl/>
              <w:adjustRightInd w:val="0"/>
              <w:snapToGrid w:val="0"/>
              <w:jc w:val="center"/>
              <w:rPr>
                <w:kern w:val="0"/>
                <w:szCs w:val="24"/>
              </w:rPr>
            </w:pPr>
          </w:p>
        </w:tc>
        <w:tc>
          <w:tcPr>
            <w:tcW w:w="518" w:type="pct"/>
            <w:shd w:val="clear" w:color="auto" w:fill="auto"/>
            <w:vAlign w:val="center"/>
          </w:tcPr>
          <w:p>
            <w:pPr>
              <w:widowControl/>
              <w:adjustRightInd w:val="0"/>
              <w:snapToGrid w:val="0"/>
              <w:jc w:val="center"/>
              <w:rPr>
                <w:kern w:val="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6" w:type="pct"/>
            <w:shd w:val="clear" w:color="auto" w:fill="auto"/>
            <w:vAlign w:val="center"/>
          </w:tcPr>
          <w:p>
            <w:pPr>
              <w:widowControl/>
              <w:adjustRightInd w:val="0"/>
              <w:snapToGrid w:val="0"/>
              <w:jc w:val="center"/>
              <w:rPr>
                <w:kern w:val="0"/>
                <w:szCs w:val="24"/>
              </w:rPr>
            </w:pPr>
            <w:r>
              <w:rPr>
                <w:kern w:val="0"/>
                <w:szCs w:val="24"/>
              </w:rPr>
              <w:t>（二）</w:t>
            </w:r>
          </w:p>
        </w:tc>
        <w:tc>
          <w:tcPr>
            <w:tcW w:w="2544" w:type="pct"/>
            <w:shd w:val="clear" w:color="auto" w:fill="auto"/>
            <w:vAlign w:val="center"/>
          </w:tcPr>
          <w:p>
            <w:pPr>
              <w:widowControl/>
              <w:adjustRightInd w:val="0"/>
              <w:snapToGrid w:val="0"/>
              <w:ind w:left="-108" w:leftChars="-45" w:right="-98" w:rightChars="-41"/>
              <w:jc w:val="center"/>
              <w:rPr>
                <w:kern w:val="0"/>
                <w:szCs w:val="24"/>
              </w:rPr>
            </w:pPr>
            <w:r>
              <w:rPr>
                <w:kern w:val="0"/>
                <w:szCs w:val="24"/>
              </w:rPr>
              <w:t>地形地貌景观、土地资源恢复治理工程</w:t>
            </w:r>
          </w:p>
        </w:tc>
        <w:tc>
          <w:tcPr>
            <w:tcW w:w="546" w:type="pct"/>
            <w:shd w:val="clear" w:color="auto" w:fill="auto"/>
            <w:vAlign w:val="center"/>
          </w:tcPr>
          <w:p>
            <w:pPr>
              <w:widowControl/>
              <w:adjustRightInd w:val="0"/>
              <w:snapToGrid w:val="0"/>
              <w:jc w:val="center"/>
              <w:rPr>
                <w:kern w:val="0"/>
                <w:szCs w:val="24"/>
              </w:rPr>
            </w:pPr>
          </w:p>
        </w:tc>
        <w:tc>
          <w:tcPr>
            <w:tcW w:w="636" w:type="pct"/>
            <w:shd w:val="clear" w:color="auto" w:fill="auto"/>
            <w:vAlign w:val="center"/>
          </w:tcPr>
          <w:p>
            <w:pPr>
              <w:widowControl/>
              <w:adjustRightInd w:val="0"/>
              <w:snapToGrid w:val="0"/>
              <w:jc w:val="center"/>
              <w:rPr>
                <w:kern w:val="0"/>
                <w:szCs w:val="24"/>
              </w:rPr>
            </w:pPr>
          </w:p>
        </w:tc>
        <w:tc>
          <w:tcPr>
            <w:tcW w:w="518" w:type="pct"/>
            <w:shd w:val="clear" w:color="auto" w:fill="auto"/>
            <w:vAlign w:val="center"/>
          </w:tcPr>
          <w:p>
            <w:pPr>
              <w:adjustRightInd w:val="0"/>
              <w:snapToGrid w:val="0"/>
              <w:jc w:val="center"/>
              <w:rPr>
                <w:color w:val="FF0000"/>
                <w:kern w:val="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6" w:type="pct"/>
            <w:shd w:val="clear" w:color="auto" w:fill="auto"/>
            <w:vAlign w:val="center"/>
          </w:tcPr>
          <w:p>
            <w:pPr>
              <w:widowControl/>
              <w:adjustRightInd w:val="0"/>
              <w:snapToGrid w:val="0"/>
              <w:jc w:val="center"/>
              <w:rPr>
                <w:kern w:val="0"/>
                <w:szCs w:val="24"/>
              </w:rPr>
            </w:pPr>
            <w:r>
              <w:rPr>
                <w:kern w:val="0"/>
                <w:szCs w:val="24"/>
              </w:rPr>
              <w:t>1</w:t>
            </w:r>
          </w:p>
        </w:tc>
        <w:tc>
          <w:tcPr>
            <w:tcW w:w="2544" w:type="pct"/>
            <w:shd w:val="clear" w:color="auto" w:fill="auto"/>
          </w:tcPr>
          <w:p>
            <w:pPr>
              <w:jc w:val="center"/>
              <w:rPr>
                <w:kern w:val="0"/>
                <w:szCs w:val="24"/>
              </w:rPr>
            </w:pPr>
            <w:r>
              <w:rPr>
                <w:kern w:val="0"/>
                <w:szCs w:val="24"/>
              </w:rPr>
              <w:t>拆除构建筑物</w:t>
            </w:r>
          </w:p>
        </w:tc>
        <w:tc>
          <w:tcPr>
            <w:tcW w:w="546" w:type="pct"/>
            <w:shd w:val="clear" w:color="auto" w:fill="auto"/>
            <w:vAlign w:val="center"/>
          </w:tcPr>
          <w:p>
            <w:pPr>
              <w:widowControl/>
              <w:adjustRightInd w:val="0"/>
              <w:snapToGrid w:val="0"/>
              <w:jc w:val="center"/>
              <w:rPr>
                <w:kern w:val="0"/>
                <w:szCs w:val="24"/>
              </w:rPr>
            </w:pPr>
            <w:r>
              <w:rPr>
                <w:kern w:val="0"/>
                <w:szCs w:val="24"/>
              </w:rPr>
              <w:t>m</w:t>
            </w:r>
            <w:r>
              <w:rPr>
                <w:kern w:val="0"/>
                <w:szCs w:val="24"/>
                <w:vertAlign w:val="superscript"/>
              </w:rPr>
              <w:t>3</w:t>
            </w:r>
          </w:p>
        </w:tc>
        <w:tc>
          <w:tcPr>
            <w:tcW w:w="636" w:type="pct"/>
            <w:shd w:val="clear" w:color="auto" w:fill="auto"/>
            <w:vAlign w:val="center"/>
          </w:tcPr>
          <w:p>
            <w:pPr>
              <w:widowControl/>
              <w:adjustRightInd w:val="0"/>
              <w:snapToGrid w:val="0"/>
              <w:jc w:val="center"/>
              <w:rPr>
                <w:kern w:val="0"/>
                <w:szCs w:val="24"/>
              </w:rPr>
            </w:pPr>
            <w:r>
              <w:rPr>
                <w:rFonts w:hint="eastAsia"/>
                <w:kern w:val="0"/>
                <w:szCs w:val="24"/>
              </w:rPr>
              <w:t>151</w:t>
            </w:r>
          </w:p>
        </w:tc>
        <w:tc>
          <w:tcPr>
            <w:tcW w:w="518" w:type="pct"/>
            <w:shd w:val="clear" w:color="auto" w:fill="auto"/>
            <w:vAlign w:val="center"/>
          </w:tcPr>
          <w:p>
            <w:pPr>
              <w:adjustRightInd w:val="0"/>
              <w:snapToGrid w:val="0"/>
              <w:jc w:val="center"/>
              <w:rPr>
                <w:color w:val="FF0000"/>
                <w:kern w:val="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6" w:type="pct"/>
            <w:shd w:val="clear" w:color="auto" w:fill="auto"/>
            <w:vAlign w:val="center"/>
          </w:tcPr>
          <w:p>
            <w:pPr>
              <w:widowControl/>
              <w:adjustRightInd w:val="0"/>
              <w:snapToGrid w:val="0"/>
              <w:jc w:val="center"/>
              <w:rPr>
                <w:kern w:val="0"/>
                <w:szCs w:val="24"/>
              </w:rPr>
            </w:pPr>
            <w:r>
              <w:rPr>
                <w:kern w:val="0"/>
                <w:szCs w:val="24"/>
              </w:rPr>
              <w:t>2</w:t>
            </w:r>
          </w:p>
        </w:tc>
        <w:tc>
          <w:tcPr>
            <w:tcW w:w="2544" w:type="pct"/>
            <w:shd w:val="clear" w:color="auto" w:fill="auto"/>
          </w:tcPr>
          <w:p>
            <w:pPr>
              <w:jc w:val="center"/>
              <w:rPr>
                <w:kern w:val="0"/>
                <w:szCs w:val="24"/>
              </w:rPr>
            </w:pPr>
            <w:r>
              <w:rPr>
                <w:kern w:val="0"/>
                <w:szCs w:val="24"/>
              </w:rPr>
              <w:t>清运废弃物</w:t>
            </w:r>
          </w:p>
        </w:tc>
        <w:tc>
          <w:tcPr>
            <w:tcW w:w="546" w:type="pct"/>
            <w:shd w:val="clear" w:color="auto" w:fill="auto"/>
            <w:vAlign w:val="center"/>
          </w:tcPr>
          <w:p>
            <w:pPr>
              <w:widowControl/>
              <w:adjustRightInd w:val="0"/>
              <w:snapToGrid w:val="0"/>
              <w:jc w:val="center"/>
              <w:rPr>
                <w:kern w:val="0"/>
                <w:szCs w:val="24"/>
              </w:rPr>
            </w:pPr>
            <w:r>
              <w:rPr>
                <w:kern w:val="0"/>
                <w:szCs w:val="24"/>
              </w:rPr>
              <w:t>m</w:t>
            </w:r>
            <w:r>
              <w:rPr>
                <w:kern w:val="0"/>
                <w:szCs w:val="24"/>
                <w:vertAlign w:val="superscript"/>
              </w:rPr>
              <w:t>3</w:t>
            </w:r>
          </w:p>
        </w:tc>
        <w:tc>
          <w:tcPr>
            <w:tcW w:w="636" w:type="pct"/>
            <w:shd w:val="clear" w:color="auto" w:fill="auto"/>
            <w:vAlign w:val="center"/>
          </w:tcPr>
          <w:p>
            <w:pPr>
              <w:widowControl/>
              <w:adjustRightInd w:val="0"/>
              <w:snapToGrid w:val="0"/>
              <w:jc w:val="center"/>
              <w:rPr>
                <w:kern w:val="0"/>
                <w:szCs w:val="24"/>
              </w:rPr>
            </w:pPr>
            <w:r>
              <w:rPr>
                <w:rFonts w:hint="eastAsia"/>
                <w:kern w:val="0"/>
                <w:szCs w:val="24"/>
              </w:rPr>
              <w:t>151</w:t>
            </w:r>
          </w:p>
        </w:tc>
        <w:tc>
          <w:tcPr>
            <w:tcW w:w="518" w:type="pct"/>
            <w:shd w:val="clear" w:color="auto" w:fill="auto"/>
            <w:vAlign w:val="center"/>
          </w:tcPr>
          <w:p>
            <w:pPr>
              <w:adjustRightInd w:val="0"/>
              <w:snapToGrid w:val="0"/>
              <w:jc w:val="center"/>
              <w:rPr>
                <w:color w:val="FF0000"/>
                <w:kern w:val="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6" w:type="pct"/>
            <w:shd w:val="clear" w:color="auto" w:fill="auto"/>
            <w:vAlign w:val="center"/>
          </w:tcPr>
          <w:p>
            <w:pPr>
              <w:widowControl/>
              <w:adjustRightInd w:val="0"/>
              <w:snapToGrid w:val="0"/>
              <w:jc w:val="center"/>
              <w:rPr>
                <w:kern w:val="0"/>
                <w:szCs w:val="24"/>
              </w:rPr>
            </w:pPr>
            <w:r>
              <w:rPr>
                <w:kern w:val="0"/>
                <w:szCs w:val="24"/>
              </w:rPr>
              <w:t>3</w:t>
            </w:r>
          </w:p>
        </w:tc>
        <w:tc>
          <w:tcPr>
            <w:tcW w:w="2544" w:type="pct"/>
            <w:shd w:val="clear" w:color="auto" w:fill="auto"/>
          </w:tcPr>
          <w:p>
            <w:pPr>
              <w:jc w:val="center"/>
              <w:rPr>
                <w:kern w:val="0"/>
                <w:szCs w:val="24"/>
              </w:rPr>
            </w:pPr>
            <w:r>
              <w:rPr>
                <w:kern w:val="0"/>
                <w:szCs w:val="24"/>
              </w:rPr>
              <w:t>清理废渣</w:t>
            </w:r>
          </w:p>
        </w:tc>
        <w:tc>
          <w:tcPr>
            <w:tcW w:w="546" w:type="pct"/>
            <w:shd w:val="clear" w:color="auto" w:fill="auto"/>
            <w:vAlign w:val="center"/>
          </w:tcPr>
          <w:p>
            <w:pPr>
              <w:widowControl/>
              <w:adjustRightInd w:val="0"/>
              <w:snapToGrid w:val="0"/>
              <w:jc w:val="center"/>
              <w:rPr>
                <w:kern w:val="0"/>
                <w:szCs w:val="24"/>
              </w:rPr>
            </w:pPr>
            <w:r>
              <w:rPr>
                <w:kern w:val="0"/>
                <w:szCs w:val="24"/>
              </w:rPr>
              <w:t>m</w:t>
            </w:r>
            <w:r>
              <w:rPr>
                <w:kern w:val="0"/>
                <w:szCs w:val="24"/>
                <w:vertAlign w:val="superscript"/>
              </w:rPr>
              <w:t>3</w:t>
            </w:r>
          </w:p>
        </w:tc>
        <w:tc>
          <w:tcPr>
            <w:tcW w:w="636" w:type="pct"/>
            <w:shd w:val="clear" w:color="auto" w:fill="auto"/>
            <w:vAlign w:val="center"/>
          </w:tcPr>
          <w:p>
            <w:pPr>
              <w:widowControl/>
              <w:adjustRightInd w:val="0"/>
              <w:snapToGrid w:val="0"/>
              <w:jc w:val="center"/>
              <w:rPr>
                <w:kern w:val="0"/>
                <w:szCs w:val="24"/>
              </w:rPr>
            </w:pPr>
            <w:r>
              <w:rPr>
                <w:kern w:val="0"/>
                <w:szCs w:val="24"/>
              </w:rPr>
              <w:t>498</w:t>
            </w:r>
          </w:p>
        </w:tc>
        <w:tc>
          <w:tcPr>
            <w:tcW w:w="518" w:type="pct"/>
            <w:shd w:val="clear" w:color="auto" w:fill="auto"/>
            <w:vAlign w:val="center"/>
          </w:tcPr>
          <w:p>
            <w:pPr>
              <w:adjustRightInd w:val="0"/>
              <w:snapToGrid w:val="0"/>
              <w:jc w:val="center"/>
              <w:rPr>
                <w:color w:val="FF0000"/>
                <w:kern w:val="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6" w:type="pct"/>
            <w:shd w:val="clear" w:color="auto" w:fill="auto"/>
            <w:vAlign w:val="center"/>
          </w:tcPr>
          <w:p>
            <w:pPr>
              <w:widowControl/>
              <w:adjustRightInd w:val="0"/>
              <w:snapToGrid w:val="0"/>
              <w:jc w:val="center"/>
              <w:rPr>
                <w:kern w:val="0"/>
                <w:szCs w:val="24"/>
              </w:rPr>
            </w:pPr>
            <w:r>
              <w:rPr>
                <w:kern w:val="0"/>
                <w:szCs w:val="24"/>
              </w:rPr>
              <w:t>第</w:t>
            </w:r>
            <w:r>
              <w:rPr>
                <w:rFonts w:hint="eastAsia"/>
                <w:kern w:val="0"/>
                <w:szCs w:val="24"/>
              </w:rPr>
              <w:t>二</w:t>
            </w:r>
            <w:r>
              <w:rPr>
                <w:kern w:val="0"/>
                <w:szCs w:val="24"/>
              </w:rPr>
              <w:t>部分</w:t>
            </w:r>
          </w:p>
        </w:tc>
        <w:tc>
          <w:tcPr>
            <w:tcW w:w="2544" w:type="pct"/>
            <w:shd w:val="clear" w:color="auto" w:fill="auto"/>
            <w:vAlign w:val="center"/>
          </w:tcPr>
          <w:p>
            <w:pPr>
              <w:widowControl/>
              <w:adjustRightInd w:val="0"/>
              <w:snapToGrid w:val="0"/>
              <w:ind w:left="-108" w:leftChars="-45" w:right="-98" w:rightChars="-41"/>
              <w:jc w:val="center"/>
              <w:rPr>
                <w:kern w:val="0"/>
                <w:szCs w:val="24"/>
              </w:rPr>
            </w:pPr>
            <w:r>
              <w:rPr>
                <w:kern w:val="0"/>
                <w:szCs w:val="24"/>
              </w:rPr>
              <w:t>监测措施</w:t>
            </w:r>
          </w:p>
        </w:tc>
        <w:tc>
          <w:tcPr>
            <w:tcW w:w="546" w:type="pct"/>
            <w:shd w:val="clear" w:color="auto" w:fill="auto"/>
            <w:vAlign w:val="center"/>
          </w:tcPr>
          <w:p>
            <w:pPr>
              <w:widowControl/>
              <w:adjustRightInd w:val="0"/>
              <w:snapToGrid w:val="0"/>
              <w:jc w:val="center"/>
              <w:rPr>
                <w:kern w:val="0"/>
                <w:szCs w:val="24"/>
              </w:rPr>
            </w:pPr>
            <w:r>
              <w:rPr>
                <w:kern w:val="0"/>
                <w:szCs w:val="24"/>
              </w:rPr>
              <w:t>年</w:t>
            </w:r>
          </w:p>
        </w:tc>
        <w:tc>
          <w:tcPr>
            <w:tcW w:w="636" w:type="pct"/>
            <w:shd w:val="clear" w:color="auto" w:fill="auto"/>
            <w:vAlign w:val="center"/>
          </w:tcPr>
          <w:p>
            <w:pPr>
              <w:widowControl/>
              <w:adjustRightInd w:val="0"/>
              <w:snapToGrid w:val="0"/>
              <w:jc w:val="center"/>
              <w:rPr>
                <w:kern w:val="0"/>
                <w:szCs w:val="24"/>
              </w:rPr>
            </w:pPr>
            <w:r>
              <w:rPr>
                <w:kern w:val="0"/>
                <w:szCs w:val="24"/>
              </w:rPr>
              <w:t>3</w:t>
            </w:r>
          </w:p>
        </w:tc>
        <w:tc>
          <w:tcPr>
            <w:tcW w:w="518" w:type="pct"/>
            <w:shd w:val="clear" w:color="auto" w:fill="auto"/>
            <w:vAlign w:val="center"/>
          </w:tcPr>
          <w:p>
            <w:pPr>
              <w:widowControl/>
              <w:adjustRightInd w:val="0"/>
              <w:snapToGrid w:val="0"/>
              <w:jc w:val="center"/>
              <w:rPr>
                <w:kern w:val="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6" w:type="pct"/>
            <w:shd w:val="clear" w:color="auto" w:fill="auto"/>
            <w:vAlign w:val="center"/>
          </w:tcPr>
          <w:p>
            <w:pPr>
              <w:widowControl/>
              <w:adjustRightInd w:val="0"/>
              <w:snapToGrid w:val="0"/>
              <w:jc w:val="center"/>
              <w:rPr>
                <w:kern w:val="0"/>
                <w:szCs w:val="24"/>
              </w:rPr>
            </w:pPr>
            <w:r>
              <w:rPr>
                <w:kern w:val="0"/>
                <w:szCs w:val="24"/>
              </w:rPr>
              <w:t>1</w:t>
            </w:r>
          </w:p>
        </w:tc>
        <w:tc>
          <w:tcPr>
            <w:tcW w:w="2544" w:type="pct"/>
            <w:shd w:val="clear" w:color="auto" w:fill="auto"/>
            <w:vAlign w:val="center"/>
          </w:tcPr>
          <w:p>
            <w:pPr>
              <w:widowControl/>
              <w:adjustRightInd w:val="0"/>
              <w:snapToGrid w:val="0"/>
              <w:jc w:val="center"/>
              <w:rPr>
                <w:szCs w:val="24"/>
              </w:rPr>
            </w:pPr>
            <w:r>
              <w:rPr>
                <w:szCs w:val="24"/>
              </w:rPr>
              <w:t>泥石流监测</w:t>
            </w:r>
          </w:p>
        </w:tc>
        <w:tc>
          <w:tcPr>
            <w:tcW w:w="546" w:type="pct"/>
            <w:shd w:val="clear" w:color="auto" w:fill="auto"/>
            <w:vAlign w:val="center"/>
          </w:tcPr>
          <w:p>
            <w:pPr>
              <w:widowControl/>
              <w:adjustRightInd w:val="0"/>
              <w:snapToGrid w:val="0"/>
              <w:jc w:val="center"/>
              <w:rPr>
                <w:szCs w:val="24"/>
              </w:rPr>
            </w:pPr>
            <w:r>
              <w:rPr>
                <w:szCs w:val="24"/>
              </w:rPr>
              <w:t>点</w:t>
            </w:r>
          </w:p>
        </w:tc>
        <w:tc>
          <w:tcPr>
            <w:tcW w:w="636" w:type="pct"/>
            <w:shd w:val="clear" w:color="auto" w:fill="auto"/>
            <w:vAlign w:val="center"/>
          </w:tcPr>
          <w:p>
            <w:pPr>
              <w:widowControl/>
              <w:adjustRightInd w:val="0"/>
              <w:snapToGrid w:val="0"/>
              <w:jc w:val="center"/>
              <w:rPr>
                <w:szCs w:val="24"/>
              </w:rPr>
            </w:pPr>
            <w:r>
              <w:rPr>
                <w:szCs w:val="24"/>
              </w:rPr>
              <w:t>4</w:t>
            </w:r>
          </w:p>
        </w:tc>
        <w:tc>
          <w:tcPr>
            <w:tcW w:w="518" w:type="pct"/>
            <w:vMerge w:val="restart"/>
            <w:shd w:val="clear" w:color="auto" w:fill="auto"/>
            <w:vAlign w:val="center"/>
          </w:tcPr>
          <w:p>
            <w:pPr>
              <w:widowControl/>
              <w:adjustRightInd w:val="0"/>
              <w:snapToGrid w:val="0"/>
              <w:jc w:val="center"/>
              <w:rPr>
                <w:szCs w:val="24"/>
              </w:rPr>
            </w:pPr>
            <w:r>
              <w:rPr>
                <w:szCs w:val="24"/>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6" w:type="pct"/>
            <w:shd w:val="clear" w:color="auto" w:fill="auto"/>
            <w:vAlign w:val="center"/>
          </w:tcPr>
          <w:p>
            <w:pPr>
              <w:widowControl/>
              <w:adjustRightInd w:val="0"/>
              <w:snapToGrid w:val="0"/>
              <w:jc w:val="center"/>
              <w:rPr>
                <w:kern w:val="0"/>
                <w:szCs w:val="24"/>
              </w:rPr>
            </w:pPr>
            <w:r>
              <w:rPr>
                <w:kern w:val="0"/>
                <w:szCs w:val="24"/>
              </w:rPr>
              <w:t>2</w:t>
            </w:r>
          </w:p>
        </w:tc>
        <w:tc>
          <w:tcPr>
            <w:tcW w:w="2544" w:type="pct"/>
            <w:shd w:val="clear" w:color="auto" w:fill="auto"/>
            <w:vAlign w:val="center"/>
          </w:tcPr>
          <w:p>
            <w:pPr>
              <w:adjustRightInd w:val="0"/>
              <w:snapToGrid w:val="0"/>
              <w:jc w:val="center"/>
              <w:rPr>
                <w:szCs w:val="24"/>
              </w:rPr>
            </w:pPr>
            <w:r>
              <w:rPr>
                <w:szCs w:val="24"/>
              </w:rPr>
              <w:t>不稳定边坡监测</w:t>
            </w:r>
          </w:p>
        </w:tc>
        <w:tc>
          <w:tcPr>
            <w:tcW w:w="546" w:type="pct"/>
            <w:shd w:val="clear" w:color="auto" w:fill="auto"/>
            <w:vAlign w:val="center"/>
          </w:tcPr>
          <w:p>
            <w:pPr>
              <w:adjustRightInd w:val="0"/>
              <w:snapToGrid w:val="0"/>
              <w:jc w:val="center"/>
              <w:rPr>
                <w:szCs w:val="24"/>
              </w:rPr>
            </w:pPr>
            <w:r>
              <w:rPr>
                <w:szCs w:val="24"/>
              </w:rPr>
              <w:t>点</w:t>
            </w:r>
          </w:p>
        </w:tc>
        <w:tc>
          <w:tcPr>
            <w:tcW w:w="636" w:type="pct"/>
            <w:shd w:val="clear" w:color="auto" w:fill="auto"/>
            <w:vAlign w:val="center"/>
          </w:tcPr>
          <w:p>
            <w:pPr>
              <w:adjustRightInd w:val="0"/>
              <w:snapToGrid w:val="0"/>
              <w:jc w:val="center"/>
              <w:rPr>
                <w:szCs w:val="24"/>
              </w:rPr>
            </w:pPr>
            <w:r>
              <w:rPr>
                <w:szCs w:val="24"/>
              </w:rPr>
              <w:t>11</w:t>
            </w:r>
          </w:p>
        </w:tc>
        <w:tc>
          <w:tcPr>
            <w:tcW w:w="518" w:type="pct"/>
            <w:vMerge w:val="continue"/>
            <w:shd w:val="clear" w:color="auto" w:fill="auto"/>
            <w:vAlign w:val="center"/>
          </w:tcPr>
          <w:p>
            <w:pPr>
              <w:adjustRightInd w:val="0"/>
              <w:snapToGrid w:val="0"/>
              <w:rPr>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6" w:type="pct"/>
            <w:shd w:val="clear" w:color="auto" w:fill="auto"/>
            <w:vAlign w:val="center"/>
          </w:tcPr>
          <w:p>
            <w:pPr>
              <w:widowControl/>
              <w:adjustRightInd w:val="0"/>
              <w:snapToGrid w:val="0"/>
              <w:jc w:val="center"/>
              <w:rPr>
                <w:kern w:val="0"/>
                <w:szCs w:val="24"/>
              </w:rPr>
            </w:pPr>
            <w:r>
              <w:rPr>
                <w:kern w:val="0"/>
                <w:szCs w:val="24"/>
              </w:rPr>
              <w:t>3</w:t>
            </w:r>
          </w:p>
        </w:tc>
        <w:tc>
          <w:tcPr>
            <w:tcW w:w="2544" w:type="pct"/>
            <w:shd w:val="clear" w:color="auto" w:fill="auto"/>
            <w:vAlign w:val="center"/>
          </w:tcPr>
          <w:p>
            <w:pPr>
              <w:adjustRightInd w:val="0"/>
              <w:snapToGrid w:val="0"/>
              <w:jc w:val="center"/>
              <w:rPr>
                <w:szCs w:val="24"/>
              </w:rPr>
            </w:pPr>
            <w:r>
              <w:rPr>
                <w:szCs w:val="24"/>
              </w:rPr>
              <w:t>警示牌</w:t>
            </w:r>
          </w:p>
        </w:tc>
        <w:tc>
          <w:tcPr>
            <w:tcW w:w="546" w:type="pct"/>
            <w:shd w:val="clear" w:color="auto" w:fill="auto"/>
            <w:vAlign w:val="center"/>
          </w:tcPr>
          <w:p>
            <w:pPr>
              <w:adjustRightInd w:val="0"/>
              <w:snapToGrid w:val="0"/>
              <w:jc w:val="center"/>
              <w:rPr>
                <w:szCs w:val="24"/>
              </w:rPr>
            </w:pPr>
            <w:r>
              <w:rPr>
                <w:szCs w:val="24"/>
              </w:rPr>
              <w:t>个</w:t>
            </w:r>
          </w:p>
        </w:tc>
        <w:tc>
          <w:tcPr>
            <w:tcW w:w="636" w:type="pct"/>
            <w:shd w:val="clear" w:color="auto" w:fill="auto"/>
            <w:vAlign w:val="center"/>
          </w:tcPr>
          <w:p>
            <w:pPr>
              <w:adjustRightInd w:val="0"/>
              <w:snapToGrid w:val="0"/>
              <w:jc w:val="center"/>
              <w:rPr>
                <w:szCs w:val="24"/>
              </w:rPr>
            </w:pPr>
            <w:r>
              <w:rPr>
                <w:szCs w:val="24"/>
              </w:rPr>
              <w:t>15</w:t>
            </w:r>
          </w:p>
        </w:tc>
        <w:tc>
          <w:tcPr>
            <w:tcW w:w="518" w:type="pct"/>
            <w:shd w:val="clear" w:color="auto" w:fill="auto"/>
            <w:vAlign w:val="center"/>
          </w:tcPr>
          <w:p>
            <w:pPr>
              <w:adjustRightInd w:val="0"/>
              <w:snapToGrid w:val="0"/>
              <w:rPr>
                <w:szCs w:val="24"/>
              </w:rPr>
            </w:pPr>
          </w:p>
        </w:tc>
      </w:tr>
    </w:tbl>
    <w:p>
      <w:pPr>
        <w:pStyle w:val="41"/>
        <w:numPr>
          <w:ilvl w:val="0"/>
          <w:numId w:val="0"/>
        </w:numPr>
        <w:spacing w:line="560" w:lineRule="exact"/>
        <w:ind w:firstLine="2505" w:firstLineChars="891"/>
        <w:jc w:val="both"/>
        <w:rPr>
          <w:rFonts w:ascii="Times New Roman" w:eastAsia="宋体"/>
          <w:b/>
          <w:bCs/>
          <w:sz w:val="28"/>
          <w:szCs w:val="28"/>
        </w:rPr>
      </w:pPr>
    </w:p>
    <w:p>
      <w:pPr>
        <w:pStyle w:val="41"/>
        <w:numPr>
          <w:ilvl w:val="0"/>
          <w:numId w:val="0"/>
        </w:numPr>
        <w:spacing w:line="560" w:lineRule="exact"/>
        <w:ind w:firstLine="2505" w:firstLineChars="891"/>
        <w:jc w:val="both"/>
        <w:rPr>
          <w:rFonts w:ascii="Times New Roman" w:eastAsia="宋体"/>
          <w:b/>
          <w:bCs/>
          <w:sz w:val="28"/>
          <w:szCs w:val="28"/>
        </w:rPr>
      </w:pPr>
    </w:p>
    <w:p>
      <w:pPr>
        <w:pStyle w:val="41"/>
        <w:numPr>
          <w:ilvl w:val="0"/>
          <w:numId w:val="0"/>
        </w:numPr>
        <w:spacing w:line="560" w:lineRule="exact"/>
        <w:ind w:firstLine="2505" w:firstLineChars="891"/>
        <w:jc w:val="both"/>
        <w:rPr>
          <w:rFonts w:ascii="Times New Roman" w:eastAsia="宋体"/>
          <w:b/>
          <w:bCs/>
          <w:sz w:val="28"/>
          <w:szCs w:val="28"/>
        </w:rPr>
      </w:pPr>
    </w:p>
    <w:p>
      <w:pPr>
        <w:pStyle w:val="41"/>
        <w:numPr>
          <w:ilvl w:val="0"/>
          <w:numId w:val="0"/>
        </w:numPr>
        <w:spacing w:line="560" w:lineRule="exact"/>
        <w:ind w:firstLine="2147" w:firstLineChars="891"/>
        <w:jc w:val="both"/>
        <w:rPr>
          <w:rFonts w:ascii="Times New Roman" w:eastAsia="宋体"/>
          <w:bCs/>
          <w:sz w:val="24"/>
          <w:szCs w:val="24"/>
        </w:rPr>
      </w:pPr>
      <w:r>
        <w:rPr>
          <w:rFonts w:hint="eastAsia" w:ascii="Times New Roman" w:eastAsia="宋体"/>
          <w:b/>
          <w:bCs/>
          <w:sz w:val="24"/>
          <w:szCs w:val="24"/>
        </w:rPr>
        <w:t>土地复垦</w:t>
      </w:r>
      <w:r>
        <w:rPr>
          <w:rFonts w:ascii="Times New Roman" w:eastAsia="宋体"/>
          <w:b/>
          <w:bCs/>
          <w:sz w:val="24"/>
          <w:szCs w:val="24"/>
        </w:rPr>
        <w:t>工程量汇总表 表</w:t>
      </w:r>
      <w:r>
        <w:rPr>
          <w:rFonts w:hint="eastAsia" w:ascii="Times New Roman" w:eastAsia="宋体"/>
          <w:b/>
          <w:bCs/>
          <w:sz w:val="24"/>
          <w:szCs w:val="24"/>
        </w:rPr>
        <w:t>6-11</w:t>
      </w:r>
    </w:p>
    <w:tbl>
      <w:tblPr>
        <w:tblStyle w:val="21"/>
        <w:tblW w:w="44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47"/>
        <w:gridCol w:w="1492"/>
        <w:gridCol w:w="29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exact"/>
          <w:jc w:val="center"/>
        </w:trPr>
        <w:tc>
          <w:tcPr>
            <w:tcW w:w="2365" w:type="pct"/>
            <w:shd w:val="clear" w:color="auto" w:fill="auto"/>
            <w:noWrap/>
            <w:vAlign w:val="center"/>
          </w:tcPr>
          <w:p>
            <w:pPr>
              <w:widowControl/>
              <w:spacing w:line="240" w:lineRule="exact"/>
              <w:jc w:val="center"/>
              <w:rPr>
                <w:kern w:val="0"/>
                <w:szCs w:val="24"/>
              </w:rPr>
            </w:pPr>
            <w:r>
              <w:rPr>
                <w:kern w:val="0"/>
                <w:szCs w:val="24"/>
              </w:rPr>
              <w:t>工程名称</w:t>
            </w:r>
          </w:p>
        </w:tc>
        <w:tc>
          <w:tcPr>
            <w:tcW w:w="894" w:type="pct"/>
            <w:shd w:val="clear" w:color="auto" w:fill="auto"/>
            <w:noWrap/>
            <w:vAlign w:val="center"/>
          </w:tcPr>
          <w:p>
            <w:pPr>
              <w:widowControl/>
              <w:spacing w:line="240" w:lineRule="exact"/>
              <w:jc w:val="center"/>
              <w:rPr>
                <w:kern w:val="0"/>
                <w:szCs w:val="24"/>
              </w:rPr>
            </w:pPr>
            <w:r>
              <w:rPr>
                <w:kern w:val="0"/>
                <w:szCs w:val="24"/>
              </w:rPr>
              <w:t>单位</w:t>
            </w:r>
          </w:p>
        </w:tc>
        <w:tc>
          <w:tcPr>
            <w:tcW w:w="1741" w:type="pct"/>
            <w:shd w:val="clear" w:color="auto" w:fill="auto"/>
            <w:noWrap/>
            <w:vAlign w:val="center"/>
          </w:tcPr>
          <w:p>
            <w:pPr>
              <w:widowControl/>
              <w:spacing w:line="240" w:lineRule="exact"/>
              <w:jc w:val="center"/>
              <w:rPr>
                <w:kern w:val="0"/>
                <w:szCs w:val="24"/>
              </w:rPr>
            </w:pPr>
            <w:r>
              <w:rPr>
                <w:kern w:val="0"/>
                <w:szCs w:val="24"/>
              </w:rPr>
              <w:t>工程量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365" w:type="pct"/>
            <w:shd w:val="clear" w:color="auto" w:fill="auto"/>
            <w:noWrap/>
            <w:vAlign w:val="center"/>
          </w:tcPr>
          <w:p>
            <w:pPr>
              <w:widowControl/>
              <w:spacing w:line="240" w:lineRule="exact"/>
              <w:jc w:val="center"/>
              <w:rPr>
                <w:kern w:val="0"/>
                <w:szCs w:val="24"/>
              </w:rPr>
            </w:pPr>
            <w:r>
              <w:rPr>
                <w:kern w:val="0"/>
                <w:szCs w:val="24"/>
              </w:rPr>
              <w:t>客土覆盖</w:t>
            </w:r>
          </w:p>
        </w:tc>
        <w:tc>
          <w:tcPr>
            <w:tcW w:w="894" w:type="pct"/>
            <w:shd w:val="clear" w:color="auto" w:fill="auto"/>
            <w:noWrap/>
            <w:vAlign w:val="center"/>
          </w:tcPr>
          <w:p>
            <w:pPr>
              <w:widowControl/>
              <w:spacing w:line="240" w:lineRule="exact"/>
              <w:jc w:val="center"/>
              <w:rPr>
                <w:kern w:val="0"/>
                <w:szCs w:val="24"/>
              </w:rPr>
            </w:pPr>
            <w:r>
              <w:rPr>
                <w:rFonts w:hint="eastAsia"/>
                <w:kern w:val="0"/>
                <w:szCs w:val="24"/>
              </w:rPr>
              <w:t>100</w:t>
            </w:r>
            <w:r>
              <w:rPr>
                <w:kern w:val="0"/>
                <w:szCs w:val="24"/>
              </w:rPr>
              <w:t>m</w:t>
            </w:r>
            <w:r>
              <w:rPr>
                <w:kern w:val="0"/>
                <w:szCs w:val="24"/>
                <w:vertAlign w:val="superscript"/>
              </w:rPr>
              <w:t>3</w:t>
            </w:r>
          </w:p>
        </w:tc>
        <w:tc>
          <w:tcPr>
            <w:tcW w:w="1741" w:type="pct"/>
            <w:shd w:val="clear" w:color="auto" w:fill="auto"/>
            <w:noWrap/>
            <w:vAlign w:val="center"/>
          </w:tcPr>
          <w:p>
            <w:pPr>
              <w:widowControl/>
              <w:spacing w:line="240" w:lineRule="exact"/>
              <w:jc w:val="center"/>
              <w:rPr>
                <w:kern w:val="0"/>
                <w:szCs w:val="24"/>
              </w:rPr>
            </w:pPr>
            <w:r>
              <w:rPr>
                <w:rFonts w:hint="eastAsia"/>
                <w:kern w:val="0"/>
                <w:szCs w:val="24"/>
              </w:rPr>
              <w:t>143.00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365" w:type="pct"/>
            <w:shd w:val="clear" w:color="auto" w:fill="auto"/>
            <w:noWrap/>
            <w:vAlign w:val="center"/>
          </w:tcPr>
          <w:p>
            <w:pPr>
              <w:widowControl/>
              <w:spacing w:line="240" w:lineRule="exact"/>
              <w:jc w:val="center"/>
              <w:rPr>
                <w:kern w:val="0"/>
                <w:szCs w:val="24"/>
              </w:rPr>
            </w:pPr>
            <w:r>
              <w:rPr>
                <w:kern w:val="0"/>
                <w:szCs w:val="24"/>
              </w:rPr>
              <w:t>客土平整</w:t>
            </w:r>
          </w:p>
        </w:tc>
        <w:tc>
          <w:tcPr>
            <w:tcW w:w="894" w:type="pct"/>
            <w:shd w:val="clear" w:color="auto" w:fill="auto"/>
            <w:noWrap/>
            <w:vAlign w:val="center"/>
          </w:tcPr>
          <w:p>
            <w:pPr>
              <w:widowControl/>
              <w:spacing w:line="240" w:lineRule="exact"/>
              <w:jc w:val="center"/>
              <w:rPr>
                <w:kern w:val="0"/>
                <w:szCs w:val="24"/>
              </w:rPr>
            </w:pPr>
            <w:r>
              <w:rPr>
                <w:rFonts w:hint="eastAsia"/>
                <w:kern w:val="0"/>
                <w:szCs w:val="24"/>
              </w:rPr>
              <w:t>100</w:t>
            </w:r>
            <w:r>
              <w:rPr>
                <w:kern w:val="0"/>
                <w:szCs w:val="24"/>
              </w:rPr>
              <w:t>m</w:t>
            </w:r>
            <w:r>
              <w:rPr>
                <w:kern w:val="0"/>
                <w:szCs w:val="24"/>
                <w:vertAlign w:val="superscript"/>
              </w:rPr>
              <w:t>3</w:t>
            </w:r>
          </w:p>
        </w:tc>
        <w:tc>
          <w:tcPr>
            <w:tcW w:w="1741" w:type="pct"/>
            <w:shd w:val="clear" w:color="auto" w:fill="auto"/>
            <w:noWrap/>
            <w:vAlign w:val="center"/>
          </w:tcPr>
          <w:p>
            <w:pPr>
              <w:widowControl/>
              <w:spacing w:line="240" w:lineRule="exact"/>
              <w:jc w:val="center"/>
              <w:rPr>
                <w:kern w:val="0"/>
                <w:szCs w:val="24"/>
              </w:rPr>
            </w:pPr>
            <w:r>
              <w:rPr>
                <w:rFonts w:hint="eastAsia"/>
                <w:kern w:val="0"/>
                <w:szCs w:val="24"/>
              </w:rPr>
              <w:t>62.93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365" w:type="pct"/>
            <w:shd w:val="clear" w:color="auto" w:fill="auto"/>
            <w:noWrap/>
            <w:vAlign w:val="center"/>
          </w:tcPr>
          <w:p>
            <w:pPr>
              <w:widowControl/>
              <w:spacing w:line="240" w:lineRule="exact"/>
              <w:jc w:val="center"/>
              <w:rPr>
                <w:kern w:val="0"/>
                <w:szCs w:val="24"/>
              </w:rPr>
            </w:pPr>
            <w:r>
              <w:rPr>
                <w:kern w:val="0"/>
                <w:szCs w:val="24"/>
              </w:rPr>
              <w:t>土地翻耕</w:t>
            </w:r>
          </w:p>
        </w:tc>
        <w:tc>
          <w:tcPr>
            <w:tcW w:w="894" w:type="pct"/>
            <w:shd w:val="clear" w:color="auto" w:fill="auto"/>
            <w:noWrap/>
            <w:vAlign w:val="center"/>
          </w:tcPr>
          <w:p>
            <w:pPr>
              <w:widowControl/>
              <w:spacing w:line="240" w:lineRule="exact"/>
              <w:jc w:val="center"/>
              <w:rPr>
                <w:kern w:val="0"/>
                <w:szCs w:val="24"/>
              </w:rPr>
            </w:pPr>
            <w:r>
              <w:rPr>
                <w:kern w:val="0"/>
                <w:szCs w:val="24"/>
              </w:rPr>
              <w:t>hm</w:t>
            </w:r>
            <w:r>
              <w:rPr>
                <w:kern w:val="0"/>
                <w:szCs w:val="24"/>
                <w:vertAlign w:val="superscript"/>
              </w:rPr>
              <w:t>2</w:t>
            </w:r>
          </w:p>
        </w:tc>
        <w:tc>
          <w:tcPr>
            <w:tcW w:w="1741" w:type="pct"/>
            <w:shd w:val="clear" w:color="auto" w:fill="auto"/>
            <w:noWrap/>
            <w:vAlign w:val="center"/>
          </w:tcPr>
          <w:p>
            <w:pPr>
              <w:widowControl/>
              <w:spacing w:line="240" w:lineRule="exact"/>
              <w:jc w:val="center"/>
              <w:rPr>
                <w:kern w:val="0"/>
                <w:szCs w:val="24"/>
              </w:rPr>
            </w:pPr>
            <w:r>
              <w:rPr>
                <w:rFonts w:hint="eastAsia"/>
                <w:kern w:val="0"/>
                <w:szCs w:val="24"/>
              </w:rPr>
              <w:t>2.9617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365" w:type="pct"/>
            <w:shd w:val="clear" w:color="auto" w:fill="auto"/>
            <w:noWrap/>
            <w:vAlign w:val="center"/>
          </w:tcPr>
          <w:p>
            <w:pPr>
              <w:widowControl/>
              <w:spacing w:line="240" w:lineRule="exact"/>
              <w:jc w:val="center"/>
              <w:rPr>
                <w:kern w:val="0"/>
                <w:szCs w:val="24"/>
              </w:rPr>
            </w:pPr>
            <w:r>
              <w:rPr>
                <w:kern w:val="0"/>
                <w:szCs w:val="24"/>
              </w:rPr>
              <w:t>施肥</w:t>
            </w:r>
          </w:p>
        </w:tc>
        <w:tc>
          <w:tcPr>
            <w:tcW w:w="894" w:type="pct"/>
            <w:shd w:val="clear" w:color="auto" w:fill="auto"/>
            <w:noWrap/>
            <w:vAlign w:val="center"/>
          </w:tcPr>
          <w:p>
            <w:pPr>
              <w:widowControl/>
              <w:spacing w:line="240" w:lineRule="exact"/>
              <w:jc w:val="center"/>
              <w:rPr>
                <w:kern w:val="0"/>
                <w:szCs w:val="24"/>
              </w:rPr>
            </w:pPr>
            <w:r>
              <w:rPr>
                <w:kern w:val="0"/>
                <w:szCs w:val="24"/>
              </w:rPr>
              <w:t>hm</w:t>
            </w:r>
            <w:r>
              <w:rPr>
                <w:kern w:val="0"/>
                <w:szCs w:val="24"/>
                <w:vertAlign w:val="superscript"/>
              </w:rPr>
              <w:t>2</w:t>
            </w:r>
          </w:p>
        </w:tc>
        <w:tc>
          <w:tcPr>
            <w:tcW w:w="1741" w:type="pct"/>
            <w:shd w:val="clear" w:color="auto" w:fill="auto"/>
            <w:noWrap/>
            <w:vAlign w:val="center"/>
          </w:tcPr>
          <w:p>
            <w:pPr>
              <w:widowControl/>
              <w:spacing w:line="240" w:lineRule="exact"/>
              <w:jc w:val="center"/>
              <w:rPr>
                <w:kern w:val="0"/>
                <w:szCs w:val="24"/>
              </w:rPr>
            </w:pPr>
            <w:r>
              <w:rPr>
                <w:rFonts w:hint="eastAsia"/>
                <w:kern w:val="0"/>
                <w:szCs w:val="24"/>
              </w:rPr>
              <w:t>3.3928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365" w:type="pct"/>
            <w:shd w:val="clear" w:color="auto" w:fill="auto"/>
            <w:noWrap/>
            <w:vAlign w:val="center"/>
          </w:tcPr>
          <w:p>
            <w:pPr>
              <w:widowControl/>
              <w:spacing w:line="240" w:lineRule="exact"/>
              <w:jc w:val="center"/>
              <w:rPr>
                <w:kern w:val="0"/>
                <w:szCs w:val="24"/>
              </w:rPr>
            </w:pPr>
            <w:r>
              <w:rPr>
                <w:kern w:val="0"/>
                <w:szCs w:val="24"/>
              </w:rPr>
              <w:t>乔木（油松）</w:t>
            </w:r>
          </w:p>
        </w:tc>
        <w:tc>
          <w:tcPr>
            <w:tcW w:w="894" w:type="pct"/>
            <w:shd w:val="clear" w:color="auto" w:fill="auto"/>
            <w:noWrap/>
            <w:vAlign w:val="center"/>
          </w:tcPr>
          <w:p>
            <w:pPr>
              <w:widowControl/>
              <w:spacing w:line="240" w:lineRule="exact"/>
              <w:jc w:val="center"/>
              <w:rPr>
                <w:kern w:val="0"/>
                <w:szCs w:val="24"/>
              </w:rPr>
            </w:pPr>
            <w:r>
              <w:rPr>
                <w:rFonts w:hint="eastAsia"/>
                <w:kern w:val="0"/>
                <w:szCs w:val="24"/>
              </w:rPr>
              <w:t>100</w:t>
            </w:r>
            <w:r>
              <w:rPr>
                <w:kern w:val="0"/>
                <w:szCs w:val="24"/>
              </w:rPr>
              <w:t>株</w:t>
            </w:r>
          </w:p>
        </w:tc>
        <w:tc>
          <w:tcPr>
            <w:tcW w:w="1741" w:type="pct"/>
            <w:shd w:val="clear" w:color="auto" w:fill="auto"/>
            <w:noWrap/>
            <w:vAlign w:val="center"/>
          </w:tcPr>
          <w:p>
            <w:pPr>
              <w:widowControl/>
              <w:spacing w:line="240" w:lineRule="exact"/>
              <w:jc w:val="center"/>
              <w:rPr>
                <w:kern w:val="0"/>
                <w:szCs w:val="24"/>
              </w:rPr>
            </w:pPr>
            <w:r>
              <w:rPr>
                <w:rFonts w:hint="eastAsia"/>
                <w:kern w:val="0"/>
                <w:szCs w:val="24"/>
              </w:rPr>
              <w:t>6.71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365" w:type="pct"/>
            <w:shd w:val="clear" w:color="auto" w:fill="auto"/>
            <w:noWrap/>
            <w:vAlign w:val="center"/>
          </w:tcPr>
          <w:p>
            <w:pPr>
              <w:widowControl/>
              <w:spacing w:line="240" w:lineRule="exact"/>
              <w:jc w:val="center"/>
              <w:rPr>
                <w:kern w:val="0"/>
                <w:szCs w:val="24"/>
              </w:rPr>
            </w:pPr>
            <w:r>
              <w:rPr>
                <w:kern w:val="0"/>
                <w:szCs w:val="24"/>
              </w:rPr>
              <w:t>灌木（爬山虎）</w:t>
            </w:r>
          </w:p>
        </w:tc>
        <w:tc>
          <w:tcPr>
            <w:tcW w:w="894" w:type="pct"/>
            <w:shd w:val="clear" w:color="auto" w:fill="auto"/>
            <w:noWrap/>
            <w:vAlign w:val="center"/>
          </w:tcPr>
          <w:p>
            <w:pPr>
              <w:widowControl/>
              <w:spacing w:line="240" w:lineRule="exact"/>
              <w:jc w:val="center"/>
              <w:rPr>
                <w:kern w:val="0"/>
                <w:szCs w:val="24"/>
              </w:rPr>
            </w:pPr>
            <w:r>
              <w:rPr>
                <w:rFonts w:hint="eastAsia"/>
                <w:kern w:val="0"/>
                <w:szCs w:val="24"/>
              </w:rPr>
              <w:t>100</w:t>
            </w:r>
            <w:r>
              <w:rPr>
                <w:kern w:val="0"/>
                <w:szCs w:val="24"/>
              </w:rPr>
              <w:t>株</w:t>
            </w:r>
          </w:p>
        </w:tc>
        <w:tc>
          <w:tcPr>
            <w:tcW w:w="1741" w:type="pct"/>
            <w:shd w:val="clear" w:color="auto" w:fill="auto"/>
            <w:noWrap/>
            <w:vAlign w:val="center"/>
          </w:tcPr>
          <w:p>
            <w:pPr>
              <w:widowControl/>
              <w:spacing w:line="240" w:lineRule="exact"/>
              <w:jc w:val="center"/>
              <w:rPr>
                <w:kern w:val="0"/>
                <w:szCs w:val="24"/>
              </w:rPr>
            </w:pPr>
            <w:r>
              <w:rPr>
                <w:rFonts w:hint="eastAsia"/>
                <w:kern w:val="0"/>
                <w:szCs w:val="24"/>
              </w:rPr>
              <w:t>55.67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365" w:type="pct"/>
            <w:shd w:val="clear" w:color="auto" w:fill="auto"/>
            <w:noWrap/>
            <w:vAlign w:val="center"/>
          </w:tcPr>
          <w:p>
            <w:pPr>
              <w:widowControl/>
              <w:spacing w:line="240" w:lineRule="exact"/>
              <w:jc w:val="center"/>
              <w:rPr>
                <w:kern w:val="0"/>
                <w:szCs w:val="24"/>
              </w:rPr>
            </w:pPr>
            <w:r>
              <w:rPr>
                <w:kern w:val="0"/>
                <w:szCs w:val="24"/>
              </w:rPr>
              <w:t>清理河道</w:t>
            </w:r>
          </w:p>
        </w:tc>
        <w:tc>
          <w:tcPr>
            <w:tcW w:w="894" w:type="pct"/>
            <w:shd w:val="clear" w:color="auto" w:fill="auto"/>
            <w:noWrap/>
            <w:vAlign w:val="center"/>
          </w:tcPr>
          <w:p>
            <w:pPr>
              <w:widowControl/>
              <w:spacing w:line="240" w:lineRule="exact"/>
              <w:jc w:val="center"/>
              <w:rPr>
                <w:kern w:val="0"/>
                <w:szCs w:val="24"/>
              </w:rPr>
            </w:pPr>
            <w:r>
              <w:rPr>
                <w:rFonts w:hint="eastAsia"/>
                <w:kern w:val="0"/>
                <w:szCs w:val="24"/>
              </w:rPr>
              <w:t>100</w:t>
            </w:r>
            <w:r>
              <w:rPr>
                <w:kern w:val="0"/>
                <w:szCs w:val="24"/>
              </w:rPr>
              <w:t>m</w:t>
            </w:r>
            <w:r>
              <w:rPr>
                <w:kern w:val="0"/>
                <w:szCs w:val="24"/>
                <w:vertAlign w:val="superscript"/>
              </w:rPr>
              <w:t>3</w:t>
            </w:r>
          </w:p>
        </w:tc>
        <w:tc>
          <w:tcPr>
            <w:tcW w:w="1741" w:type="pct"/>
            <w:shd w:val="clear" w:color="auto" w:fill="auto"/>
            <w:noWrap/>
            <w:vAlign w:val="center"/>
          </w:tcPr>
          <w:p>
            <w:pPr>
              <w:widowControl/>
              <w:spacing w:line="240" w:lineRule="exact"/>
              <w:jc w:val="center"/>
              <w:rPr>
                <w:kern w:val="0"/>
                <w:szCs w:val="24"/>
              </w:rPr>
            </w:pPr>
            <w:r>
              <w:rPr>
                <w:rFonts w:hint="eastAsia"/>
                <w:kern w:val="0"/>
                <w:szCs w:val="24"/>
              </w:rPr>
              <w:t>24.49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365" w:type="pct"/>
            <w:shd w:val="clear" w:color="auto" w:fill="auto"/>
            <w:noWrap/>
            <w:vAlign w:val="center"/>
          </w:tcPr>
          <w:p>
            <w:pPr>
              <w:widowControl/>
              <w:spacing w:line="240" w:lineRule="exact"/>
              <w:jc w:val="center"/>
              <w:rPr>
                <w:kern w:val="0"/>
                <w:szCs w:val="24"/>
              </w:rPr>
            </w:pPr>
            <w:r>
              <w:rPr>
                <w:kern w:val="0"/>
                <w:szCs w:val="24"/>
              </w:rPr>
              <w:t>卵石压盖</w:t>
            </w:r>
          </w:p>
        </w:tc>
        <w:tc>
          <w:tcPr>
            <w:tcW w:w="894" w:type="pct"/>
            <w:shd w:val="clear" w:color="auto" w:fill="auto"/>
            <w:noWrap/>
            <w:vAlign w:val="center"/>
          </w:tcPr>
          <w:p>
            <w:pPr>
              <w:widowControl/>
              <w:spacing w:line="240" w:lineRule="exact"/>
              <w:jc w:val="center"/>
              <w:rPr>
                <w:kern w:val="0"/>
                <w:szCs w:val="24"/>
              </w:rPr>
            </w:pPr>
            <w:r>
              <w:rPr>
                <w:rFonts w:hint="eastAsia"/>
                <w:kern w:val="0"/>
                <w:szCs w:val="24"/>
              </w:rPr>
              <w:t>100</w:t>
            </w:r>
            <w:r>
              <w:rPr>
                <w:kern w:val="0"/>
                <w:szCs w:val="24"/>
              </w:rPr>
              <w:t>m</w:t>
            </w:r>
            <w:r>
              <w:rPr>
                <w:kern w:val="0"/>
                <w:szCs w:val="24"/>
                <w:vertAlign w:val="superscript"/>
              </w:rPr>
              <w:t>3</w:t>
            </w:r>
          </w:p>
        </w:tc>
        <w:tc>
          <w:tcPr>
            <w:tcW w:w="1741" w:type="pct"/>
            <w:shd w:val="clear" w:color="auto" w:fill="auto"/>
            <w:noWrap/>
            <w:vAlign w:val="center"/>
          </w:tcPr>
          <w:p>
            <w:pPr>
              <w:widowControl/>
              <w:spacing w:line="240" w:lineRule="exact"/>
              <w:jc w:val="center"/>
              <w:rPr>
                <w:kern w:val="0"/>
                <w:szCs w:val="24"/>
              </w:rPr>
            </w:pPr>
            <w:r>
              <w:rPr>
                <w:rFonts w:hint="eastAsia"/>
                <w:kern w:val="0"/>
                <w:szCs w:val="24"/>
              </w:rPr>
              <w:t>48.97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365" w:type="pct"/>
            <w:shd w:val="clear" w:color="auto" w:fill="auto"/>
            <w:noWrap/>
            <w:vAlign w:val="center"/>
          </w:tcPr>
          <w:p>
            <w:pPr>
              <w:widowControl/>
              <w:spacing w:line="240" w:lineRule="exact"/>
              <w:jc w:val="center"/>
              <w:rPr>
                <w:kern w:val="0"/>
                <w:szCs w:val="24"/>
              </w:rPr>
            </w:pPr>
            <w:r>
              <w:rPr>
                <w:kern w:val="0"/>
                <w:szCs w:val="24"/>
              </w:rPr>
              <w:t>管护工程</w:t>
            </w:r>
          </w:p>
        </w:tc>
        <w:tc>
          <w:tcPr>
            <w:tcW w:w="894" w:type="pct"/>
            <w:shd w:val="clear" w:color="auto" w:fill="auto"/>
            <w:noWrap/>
            <w:vAlign w:val="center"/>
          </w:tcPr>
          <w:p>
            <w:pPr>
              <w:widowControl/>
              <w:spacing w:line="240" w:lineRule="exact"/>
              <w:jc w:val="center"/>
              <w:rPr>
                <w:kern w:val="0"/>
                <w:szCs w:val="24"/>
              </w:rPr>
            </w:pPr>
            <w:r>
              <w:rPr>
                <w:kern w:val="0"/>
                <w:szCs w:val="24"/>
              </w:rPr>
              <w:t>hm</w:t>
            </w:r>
            <w:r>
              <w:rPr>
                <w:kern w:val="0"/>
                <w:szCs w:val="24"/>
                <w:vertAlign w:val="superscript"/>
              </w:rPr>
              <w:t>2</w:t>
            </w:r>
          </w:p>
        </w:tc>
        <w:tc>
          <w:tcPr>
            <w:tcW w:w="1741" w:type="pct"/>
            <w:shd w:val="clear" w:color="auto" w:fill="auto"/>
            <w:noWrap/>
            <w:vAlign w:val="center"/>
          </w:tcPr>
          <w:p>
            <w:pPr>
              <w:widowControl/>
              <w:spacing w:line="240" w:lineRule="exact"/>
              <w:jc w:val="center"/>
              <w:rPr>
                <w:kern w:val="0"/>
                <w:szCs w:val="24"/>
              </w:rPr>
            </w:pPr>
            <w:r>
              <w:rPr>
                <w:rFonts w:hint="eastAsia"/>
                <w:kern w:val="0"/>
                <w:szCs w:val="24"/>
              </w:rPr>
              <w:t>5.7300</w:t>
            </w:r>
          </w:p>
        </w:tc>
      </w:tr>
    </w:tbl>
    <w:p>
      <w:pPr>
        <w:pStyle w:val="31"/>
      </w:pPr>
      <w:r>
        <w:rPr>
          <w:rFonts w:hint="eastAsia"/>
        </w:rPr>
        <w:t>6.1.2生态环境治理工程预期效果</w:t>
      </w:r>
    </w:p>
    <w:p>
      <w:pPr>
        <w:pStyle w:val="2"/>
        <w:rPr>
          <w:rFonts w:ascii="Times New Roman" w:hAnsi="Times New Roman"/>
        </w:rPr>
      </w:pPr>
      <w:r>
        <w:rPr>
          <w:rFonts w:hint="eastAsia" w:ascii="Times New Roman" w:hAnsi="Times New Roman"/>
        </w:rPr>
        <w:t>以上</w:t>
      </w:r>
      <w:r>
        <w:rPr>
          <w:rFonts w:ascii="Times New Roman" w:hAnsi="Times New Roman"/>
        </w:rPr>
        <w:t>工程为</w:t>
      </w:r>
      <w:r>
        <w:rPr>
          <w:rFonts w:hint="eastAsia" w:ascii="Times New Roman" w:hAnsi="Times New Roman"/>
        </w:rPr>
        <w:t>“三合一”方案设计工程，</w:t>
      </w:r>
      <w:r>
        <w:rPr>
          <w:rFonts w:ascii="Times New Roman" w:hAnsi="Times New Roman"/>
        </w:rPr>
        <w:t>实施之后较实施之前植被覆盖率得到明显提高，将有效遏制项目区及周边环境的恶化，在合理管护的基础上最终实现植物生态系统的多样性与稳定性，吸引周边动物群落的回迁，增加动物群落多样性，达到植物动物群落的动态平衡，促进了植物群落的演替。同时将对局部环境空气和小气候产生正效与长效影响，通过防护林建设、植树、种草工程还可以通过净化空气改善周边区域的大气环境质量。</w:t>
      </w:r>
      <w:r>
        <w:rPr>
          <w:rFonts w:ascii="Times New Roman" w:hAnsi="Times New Roman" w:cs="Times New Roman"/>
          <w:spacing w:val="0"/>
        </w:rPr>
        <w:t>工程实施基本满足生态环境治理要求</w:t>
      </w:r>
      <w:r>
        <w:rPr>
          <w:rFonts w:hint="eastAsia" w:ascii="Times New Roman" w:hAnsi="Times New Roman" w:cs="Times New Roman"/>
          <w:spacing w:val="0"/>
        </w:rPr>
        <w:t>，</w:t>
      </w:r>
      <w:r>
        <w:rPr>
          <w:rFonts w:ascii="Times New Roman" w:hAnsi="Times New Roman" w:cs="Times New Roman"/>
          <w:spacing w:val="0"/>
        </w:rPr>
        <w:t>本方案不再重复设计。</w:t>
      </w:r>
    </w:p>
    <w:p>
      <w:pPr>
        <w:pStyle w:val="31"/>
      </w:pPr>
      <w:bookmarkStart w:id="232" w:name="_Toc517445111"/>
      <w:bookmarkStart w:id="233" w:name="_Toc517445874"/>
      <w:bookmarkStart w:id="234" w:name="_Toc71036675"/>
      <w:bookmarkStart w:id="235" w:name="_Toc491877367"/>
      <w:bookmarkStart w:id="236" w:name="_Toc390267625"/>
      <w:bookmarkStart w:id="237" w:name="_Toc30108"/>
      <w:bookmarkStart w:id="238" w:name="_Toc517446132"/>
      <w:bookmarkStart w:id="239" w:name="_Toc517446446"/>
      <w:bookmarkStart w:id="240" w:name="_Toc211463113"/>
      <w:bookmarkStart w:id="241" w:name="_Toc211758556"/>
      <w:bookmarkStart w:id="242" w:name="_Toc211756659"/>
      <w:bookmarkStart w:id="243" w:name="_Toc304932689"/>
      <w:bookmarkStart w:id="244" w:name="_Toc344383570"/>
      <w:r>
        <w:t>6.1.</w:t>
      </w:r>
      <w:r>
        <w:rPr>
          <w:rFonts w:hint="eastAsia"/>
        </w:rPr>
        <w:t>3</w:t>
      </w:r>
      <w:r>
        <w:t>矿山生态环境监控能力建设工程</w:t>
      </w:r>
      <w:bookmarkEnd w:id="232"/>
      <w:bookmarkEnd w:id="233"/>
      <w:bookmarkEnd w:id="234"/>
      <w:bookmarkEnd w:id="235"/>
      <w:bookmarkEnd w:id="236"/>
      <w:bookmarkEnd w:id="237"/>
      <w:bookmarkEnd w:id="238"/>
      <w:bookmarkEnd w:id="239"/>
    </w:p>
    <w:p>
      <w:pPr>
        <w:ind w:firstLine="480" w:firstLineChars="200"/>
        <w:rPr>
          <w:rFonts w:ascii="Times New Roman" w:hAnsi="Times New Roman"/>
        </w:rPr>
      </w:pPr>
      <w:r>
        <w:rPr>
          <w:rFonts w:hint="eastAsia" w:ascii="Times New Roman" w:hAnsi="Times New Roman"/>
          <w:szCs w:val="30"/>
        </w:rPr>
        <w:t>1、</w:t>
      </w:r>
      <w:r>
        <w:rPr>
          <w:rFonts w:ascii="Times New Roman" w:hAnsi="Times New Roman"/>
          <w:szCs w:val="30"/>
        </w:rPr>
        <w:t>工程治理内容及实施时段</w:t>
      </w:r>
    </w:p>
    <w:p>
      <w:pPr>
        <w:adjustRightInd w:val="0"/>
        <w:snapToGrid w:val="0"/>
        <w:ind w:firstLine="560"/>
        <w:rPr>
          <w:rFonts w:ascii="Times New Roman" w:hAnsi="Times New Roman"/>
          <w:szCs w:val="28"/>
        </w:rPr>
      </w:pPr>
      <w:r>
        <w:rPr>
          <w:rFonts w:ascii="Times New Roman" w:hAnsi="Times New Roman"/>
          <w:szCs w:val="28"/>
        </w:rPr>
        <w:t>按照矿区生态环境质量季报中7项主要技术指标、25项分指标的要求，制定方案，进行矿区、大气、水等的监测设备，解译相关图片，建立遥感数据并执行矿区生态环境质量季报制度和年审制度。</w:t>
      </w:r>
    </w:p>
    <w:p>
      <w:pPr>
        <w:ind w:firstLine="496"/>
        <w:rPr>
          <w:rFonts w:ascii="Times New Roman" w:hAnsi="Times New Roman"/>
          <w:szCs w:val="28"/>
        </w:rPr>
      </w:pPr>
      <w:r>
        <w:rPr>
          <w:rFonts w:ascii="Times New Roman" w:hAnsi="Times New Roman"/>
          <w:szCs w:val="28"/>
        </w:rPr>
        <w:t>本工程实施时段为20</w:t>
      </w:r>
      <w:r>
        <w:rPr>
          <w:rFonts w:hint="eastAsia" w:ascii="Times New Roman" w:hAnsi="Times New Roman"/>
          <w:szCs w:val="28"/>
        </w:rPr>
        <w:t>21</w:t>
      </w:r>
      <w:r>
        <w:rPr>
          <w:rFonts w:ascii="Times New Roman" w:hAnsi="Times New Roman"/>
          <w:szCs w:val="28"/>
        </w:rPr>
        <w:t>年～</w:t>
      </w:r>
      <w:r>
        <w:rPr>
          <w:rFonts w:hint="eastAsia" w:ascii="Times New Roman" w:hAnsi="Times New Roman"/>
          <w:szCs w:val="28"/>
        </w:rPr>
        <w:t>2023</w:t>
      </w:r>
      <w:r>
        <w:rPr>
          <w:rFonts w:ascii="Times New Roman" w:hAnsi="Times New Roman"/>
          <w:szCs w:val="28"/>
        </w:rPr>
        <w:t>年。</w:t>
      </w:r>
    </w:p>
    <w:p>
      <w:pPr>
        <w:pStyle w:val="2"/>
      </w:pPr>
      <w:r>
        <w:rPr>
          <w:rFonts w:hint="eastAsia"/>
        </w:rPr>
        <w:t>2、</w:t>
      </w:r>
      <w:r>
        <w:rPr>
          <w:rFonts w:ascii="Times New Roman" w:hAnsi="Times New Roman" w:cs="Times New Roman"/>
          <w:szCs w:val="30"/>
        </w:rPr>
        <w:t>工程措施及工程量</w:t>
      </w:r>
    </w:p>
    <w:p>
      <w:pPr>
        <w:pStyle w:val="2"/>
      </w:pPr>
      <w:r>
        <w:t>（1）监控机构建设方案设计</w:t>
      </w:r>
    </w:p>
    <w:p>
      <w:pPr>
        <w:pStyle w:val="2"/>
      </w:pPr>
      <w:r>
        <w:t>设置环保科，配备环境保护专职人员</w:t>
      </w:r>
      <w:r>
        <w:rPr>
          <w:rFonts w:hint="eastAsia"/>
        </w:rPr>
        <w:t>1</w:t>
      </w:r>
      <w:r>
        <w:t>人。环保科负责日常环境管理、矿区监测及污染治理具体工作，确保各项环保措施及环保制度的贯彻落实。并建立污染源监测档案，为环境管理及污染治理提供依据。</w:t>
      </w:r>
    </w:p>
    <w:p>
      <w:pPr>
        <w:pStyle w:val="2"/>
      </w:pPr>
      <w:r>
        <w:t>（2）监控机构的工作制度</w:t>
      </w:r>
    </w:p>
    <w:p>
      <w:pPr>
        <w:pStyle w:val="2"/>
      </w:pPr>
      <w:r>
        <w:t>矿山生态环境监控专门机构对全矿区范围内的生态环境进行定期和不定期人工巡检制度。生态环境质量监控结果要及时整理汇总，并按照相关部门的有关要求，结合《山西省矿山生态环境质量季报管理办法》建立监控结果季报，上报上级</w:t>
      </w:r>
      <w:r>
        <w:rPr>
          <w:rFonts w:hint="eastAsia"/>
        </w:rPr>
        <w:t>生态环境主管</w:t>
      </w:r>
      <w:r>
        <w:t>部门。</w:t>
      </w:r>
    </w:p>
    <w:p>
      <w:pPr>
        <w:pStyle w:val="2"/>
      </w:pPr>
      <w:r>
        <w:t>每年年底贯彻执行《山西省矿山生态环境质量年审办法》，配合环保局做好矿区生态环境保护与恢复治理的年度审核工作。并且，矿区生态环境监控机构要具备环境安全应急能力和应急事件处置能力。</w:t>
      </w:r>
    </w:p>
    <w:p>
      <w:pPr>
        <w:pStyle w:val="2"/>
        <w:numPr>
          <w:ilvl w:val="0"/>
          <w:numId w:val="4"/>
        </w:numPr>
      </w:pPr>
      <w:r>
        <w:t>监控内容</w:t>
      </w:r>
    </w:p>
    <w:p>
      <w:pPr>
        <w:pStyle w:val="2"/>
      </w:pPr>
      <w:r>
        <w:rPr>
          <w:bCs/>
        </w:rPr>
        <w:t>结合实际情况，</w:t>
      </w:r>
      <w:r>
        <w:t>监控的主要内容为：土地植被监测。</w:t>
      </w:r>
    </w:p>
    <w:p>
      <w:pPr>
        <w:pStyle w:val="2"/>
      </w:pPr>
      <w:r>
        <w:t>监测其植物种群是否发生新的变化，以及水土流失模数是否有新的变化。</w:t>
      </w:r>
    </w:p>
    <w:p>
      <w:pPr>
        <w:pStyle w:val="2"/>
      </w:pPr>
      <w:r>
        <w:t>生态环境监控委托有生态环境监控能力及技术的机构进行。</w:t>
      </w:r>
    </w:p>
    <w:p>
      <w:pPr>
        <w:pStyle w:val="2"/>
      </w:pPr>
      <w:r>
        <w:rPr>
          <w:rFonts w:hint="eastAsia"/>
        </w:rPr>
        <w:t>3、</w:t>
      </w:r>
      <w:r>
        <w:t>矿区生态环境年审、季报制度建设</w:t>
      </w:r>
    </w:p>
    <w:p>
      <w:pPr>
        <w:pStyle w:val="2"/>
      </w:pPr>
      <w:r>
        <w:t>为了贯彻《山西省矿山生态环境质量季报管理办法》，矿区相应建立年审申报制度和季报制度。</w:t>
      </w:r>
    </w:p>
    <w:p>
      <w:pPr>
        <w:pStyle w:val="2"/>
      </w:pPr>
      <w:r>
        <w:t>每季度组织有生态环境质量监测的单位对矿区的生态环境质量进行监测，并出具报告，上报环境主管部门。</w:t>
      </w:r>
    </w:p>
    <w:p>
      <w:pPr>
        <w:pStyle w:val="2"/>
      </w:pPr>
      <w:r>
        <w:t>每年底组织有生态环境质量监测的单位对矿区的生态环境质量进行监测，组织填写《矿山生态环境保护自审表》，编制《矿山生态环境保护自审报告》，并组织人力物力配合环境保护主管部门对矿山生态环境保护年审工作。</w:t>
      </w:r>
    </w:p>
    <w:bookmarkEnd w:id="240"/>
    <w:bookmarkEnd w:id="241"/>
    <w:bookmarkEnd w:id="242"/>
    <w:bookmarkEnd w:id="243"/>
    <w:bookmarkEnd w:id="244"/>
    <w:p>
      <w:pPr>
        <w:pStyle w:val="30"/>
      </w:pPr>
      <w:bookmarkStart w:id="245" w:name="_Toc71036676"/>
      <w:r>
        <w:rPr>
          <w:rFonts w:hint="eastAsia"/>
        </w:rPr>
        <w:t>6.2经费估算</w:t>
      </w:r>
      <w:bookmarkEnd w:id="245"/>
    </w:p>
    <w:p>
      <w:pPr>
        <w:pStyle w:val="31"/>
      </w:pPr>
      <w:bookmarkStart w:id="246" w:name="_Toc71036677"/>
      <w:r>
        <w:rPr>
          <w:rFonts w:hint="eastAsia"/>
        </w:rPr>
        <w:t>6.2.1</w:t>
      </w:r>
      <w:r>
        <w:t>经费估算依据</w:t>
      </w:r>
      <w:bookmarkEnd w:id="246"/>
    </w:p>
    <w:p>
      <w:pPr>
        <w:pStyle w:val="2"/>
        <w:rPr>
          <w:rFonts w:ascii="Times New Roman" w:hAnsi="Times New Roman" w:cs="Times New Roman" w:eastAsiaTheme="minorEastAsia"/>
        </w:rPr>
      </w:pPr>
      <w:r>
        <w:rPr>
          <w:rFonts w:ascii="Times New Roman" w:hAnsi="Times New Roman" w:cs="Times New Roman" w:eastAsiaTheme="minorEastAsia"/>
        </w:rPr>
        <w:t>1</w:t>
      </w:r>
      <w:r>
        <w:rPr>
          <w:rFonts w:ascii="Times New Roman" w:cs="Times New Roman" w:hAnsiTheme="minorEastAsia" w:eastAsiaTheme="minorEastAsia"/>
        </w:rPr>
        <w:t>、编制依据</w:t>
      </w:r>
    </w:p>
    <w:p>
      <w:pPr>
        <w:pStyle w:val="2"/>
        <w:rPr>
          <w:rFonts w:ascii="Times New Roman" w:hAnsiTheme="minorEastAsia" w:eastAsiaTheme="minorEastAsia"/>
        </w:rPr>
      </w:pPr>
      <w:r>
        <w:rPr>
          <w:rFonts w:ascii="Times New Roman" w:hAnsiTheme="minorEastAsia" w:eastAsiaTheme="minorEastAsia"/>
        </w:rPr>
        <w:t>（1）矿山地质环境保护与恢复治理方案编制规范(DZ/T0223-2011)；</w:t>
      </w:r>
    </w:p>
    <w:p>
      <w:pPr>
        <w:pStyle w:val="2"/>
        <w:rPr>
          <w:rFonts w:ascii="Times New Roman" w:hAnsiTheme="minorEastAsia" w:eastAsiaTheme="minorEastAsia"/>
        </w:rPr>
      </w:pPr>
      <w:r>
        <w:rPr>
          <w:rFonts w:ascii="Times New Roman" w:hAnsiTheme="minorEastAsia" w:eastAsiaTheme="minorEastAsia"/>
        </w:rPr>
        <w:t>（2）矿山地质环境保护与恢复治理方案的工程布置、工作量、相关图件及说明；</w:t>
      </w:r>
    </w:p>
    <w:p>
      <w:pPr>
        <w:pStyle w:val="2"/>
        <w:rPr>
          <w:rFonts w:ascii="Times New Roman" w:hAnsiTheme="minorEastAsia" w:eastAsiaTheme="minorEastAsia"/>
        </w:rPr>
      </w:pPr>
      <w:r>
        <w:rPr>
          <w:rFonts w:ascii="Times New Roman" w:hAnsiTheme="minorEastAsia" w:eastAsiaTheme="minorEastAsia"/>
        </w:rPr>
        <w:t>（3）《水土保持工程概（估）算编制规定》水利部水总〔2003〕67号文；</w:t>
      </w:r>
    </w:p>
    <w:p>
      <w:pPr>
        <w:pStyle w:val="2"/>
        <w:rPr>
          <w:rFonts w:ascii="Times New Roman" w:hAnsiTheme="minorEastAsia" w:eastAsiaTheme="minorEastAsia"/>
        </w:rPr>
      </w:pPr>
      <w:bookmarkStart w:id="247" w:name="_Toc521578056"/>
      <w:bookmarkStart w:id="248" w:name="_Toc524036795"/>
      <w:bookmarkStart w:id="249" w:name="_Toc524963093"/>
      <w:bookmarkStart w:id="250" w:name="_Toc525745589"/>
      <w:r>
        <w:rPr>
          <w:rFonts w:ascii="Times New Roman" w:hAnsiTheme="minorEastAsia" w:eastAsiaTheme="minorEastAsia"/>
        </w:rPr>
        <w:t>（4）《水土保持工程估算定额》水总〔2003〕67号文；</w:t>
      </w:r>
      <w:bookmarkEnd w:id="247"/>
      <w:bookmarkEnd w:id="248"/>
      <w:bookmarkEnd w:id="249"/>
      <w:bookmarkEnd w:id="250"/>
    </w:p>
    <w:p>
      <w:pPr>
        <w:pStyle w:val="2"/>
        <w:rPr>
          <w:rFonts w:ascii="Times New Roman" w:hAnsiTheme="minorEastAsia" w:eastAsiaTheme="minorEastAsia"/>
        </w:rPr>
      </w:pPr>
      <w:r>
        <w:rPr>
          <w:rFonts w:ascii="Times New Roman" w:hAnsiTheme="minorEastAsia" w:eastAsiaTheme="minorEastAsia"/>
        </w:rPr>
        <w:t>（5）《水土保持工程工程造价编制指南》水总〔2003〕67号文；</w:t>
      </w:r>
    </w:p>
    <w:p>
      <w:pPr>
        <w:pStyle w:val="2"/>
        <w:rPr>
          <w:rFonts w:ascii="Times New Roman" w:hAnsiTheme="minorEastAsia" w:eastAsiaTheme="minorEastAsia"/>
        </w:rPr>
      </w:pPr>
      <w:r>
        <w:rPr>
          <w:rFonts w:ascii="Times New Roman" w:hAnsiTheme="minorEastAsia" w:eastAsiaTheme="minorEastAsia"/>
        </w:rPr>
        <w:t>（6）《工程勘察设计收费标准》国家计委、建设部〔2002〕10号文；</w:t>
      </w:r>
    </w:p>
    <w:p>
      <w:pPr>
        <w:pStyle w:val="2"/>
        <w:rPr>
          <w:rFonts w:ascii="Times New Roman" w:hAnsiTheme="minorEastAsia" w:eastAsiaTheme="minorEastAsia"/>
        </w:rPr>
      </w:pPr>
      <w:r>
        <w:rPr>
          <w:rFonts w:ascii="Times New Roman" w:hAnsiTheme="minorEastAsia" w:eastAsiaTheme="minorEastAsia"/>
        </w:rPr>
        <w:t>（7）《国家发展改革委，建设部关于印发〈建设工程监理与相关服务收费管理规定〉的通知》发改价格〔2007〕670号文；</w:t>
      </w:r>
    </w:p>
    <w:p>
      <w:pPr>
        <w:pStyle w:val="2"/>
        <w:rPr>
          <w:rFonts w:ascii="Times New Roman" w:cs="Times New Roman" w:hAnsiTheme="minorEastAsia" w:eastAsiaTheme="minorEastAsia"/>
        </w:rPr>
      </w:pPr>
      <w:r>
        <w:rPr>
          <w:rFonts w:ascii="Times New Roman" w:cs="Times New Roman" w:hAnsiTheme="minorEastAsia" w:eastAsiaTheme="minorEastAsia"/>
        </w:rPr>
        <w:t>（8）《土地开发整理项目预算定额》财政部、国土资源部财综〔2011〕128号文；</w:t>
      </w:r>
    </w:p>
    <w:p>
      <w:pPr>
        <w:pStyle w:val="2"/>
        <w:rPr>
          <w:rFonts w:ascii="Times New Roman" w:hAnsi="Times New Roman" w:cs="Times New Roman" w:eastAsiaTheme="minorEastAsia"/>
        </w:rPr>
      </w:pPr>
      <w:r>
        <w:rPr>
          <w:rFonts w:ascii="Times New Roman" w:cs="Times New Roman" w:hAnsiTheme="minorEastAsia" w:eastAsiaTheme="minorEastAsia"/>
        </w:rPr>
        <w:t>（</w:t>
      </w:r>
      <w:r>
        <w:rPr>
          <w:rFonts w:hint="eastAsia" w:ascii="Times New Roman" w:hAnsi="Times New Roman" w:cs="Times New Roman" w:eastAsiaTheme="minorEastAsia"/>
        </w:rPr>
        <w:t>9</w:t>
      </w:r>
      <w:r>
        <w:rPr>
          <w:rFonts w:ascii="Times New Roman" w:cs="Times New Roman" w:hAnsiTheme="minorEastAsia" w:eastAsiaTheme="minorEastAsia"/>
        </w:rPr>
        <w:t>）《土地开发整理项目预算定额》，</w:t>
      </w:r>
      <w:r>
        <w:rPr>
          <w:rFonts w:ascii="Times New Roman" w:hAnsi="Times New Roman" w:cs="Times New Roman" w:eastAsiaTheme="minorEastAsia"/>
        </w:rPr>
        <w:t>2012</w:t>
      </w:r>
      <w:r>
        <w:rPr>
          <w:rFonts w:ascii="Times New Roman" w:cs="Times New Roman" w:hAnsiTheme="minorEastAsia" w:eastAsiaTheme="minorEastAsia"/>
        </w:rPr>
        <w:t>；</w:t>
      </w:r>
    </w:p>
    <w:p>
      <w:pPr>
        <w:pStyle w:val="2"/>
        <w:rPr>
          <w:rFonts w:ascii="Times New Roman" w:hAnsi="Times New Roman" w:cs="Times New Roman" w:eastAsiaTheme="minorEastAsia"/>
        </w:rPr>
      </w:pPr>
      <w:r>
        <w:rPr>
          <w:rFonts w:ascii="Times New Roman" w:cs="Times New Roman" w:hAnsiTheme="minorEastAsia" w:eastAsiaTheme="minorEastAsia"/>
        </w:rPr>
        <w:t>（</w:t>
      </w:r>
      <w:r>
        <w:rPr>
          <w:rFonts w:hint="eastAsia" w:ascii="Times New Roman" w:hAnsi="Times New Roman" w:cs="Times New Roman" w:eastAsiaTheme="minorEastAsia"/>
        </w:rPr>
        <w:t>10</w:t>
      </w:r>
      <w:r>
        <w:rPr>
          <w:rFonts w:ascii="Times New Roman" w:cs="Times New Roman" w:hAnsiTheme="minorEastAsia" w:eastAsiaTheme="minorEastAsia"/>
        </w:rPr>
        <w:t>）《土地开发整理项目施工机械台班费定额》，</w:t>
      </w:r>
      <w:r>
        <w:rPr>
          <w:rFonts w:ascii="Times New Roman" w:hAnsi="Times New Roman" w:cs="Times New Roman" w:eastAsiaTheme="minorEastAsia"/>
        </w:rPr>
        <w:t>2012</w:t>
      </w:r>
      <w:r>
        <w:rPr>
          <w:rFonts w:ascii="Times New Roman" w:cs="Times New Roman" w:hAnsiTheme="minorEastAsia" w:eastAsiaTheme="minorEastAsia"/>
        </w:rPr>
        <w:t>；</w:t>
      </w:r>
    </w:p>
    <w:p>
      <w:pPr>
        <w:pStyle w:val="2"/>
        <w:rPr>
          <w:rFonts w:ascii="Times New Roman" w:hAnsi="Times New Roman" w:cs="Times New Roman" w:eastAsiaTheme="minorEastAsia"/>
        </w:rPr>
      </w:pPr>
      <w:r>
        <w:rPr>
          <w:rFonts w:ascii="Times New Roman" w:cs="Times New Roman" w:hAnsiTheme="minorEastAsia" w:eastAsiaTheme="minorEastAsia"/>
        </w:rPr>
        <w:t>（</w:t>
      </w:r>
      <w:r>
        <w:rPr>
          <w:rFonts w:hint="eastAsia" w:ascii="Times New Roman" w:hAnsi="Times New Roman" w:cs="Times New Roman" w:eastAsiaTheme="minorEastAsia"/>
        </w:rPr>
        <w:t>11</w:t>
      </w:r>
      <w:r>
        <w:rPr>
          <w:rFonts w:ascii="Times New Roman" w:cs="Times New Roman" w:hAnsiTheme="minorEastAsia" w:eastAsiaTheme="minorEastAsia"/>
        </w:rPr>
        <w:t>）《土地开发整理项目预算定额标准》，</w:t>
      </w:r>
      <w:r>
        <w:rPr>
          <w:rFonts w:ascii="Times New Roman" w:hAnsi="Times New Roman" w:cs="Times New Roman" w:eastAsiaTheme="minorEastAsia"/>
        </w:rPr>
        <w:t>2012</w:t>
      </w:r>
      <w:r>
        <w:rPr>
          <w:rFonts w:ascii="Times New Roman" w:cs="Times New Roman" w:hAnsiTheme="minorEastAsia" w:eastAsiaTheme="minorEastAsia"/>
        </w:rPr>
        <w:t>；</w:t>
      </w:r>
    </w:p>
    <w:p>
      <w:pPr>
        <w:pStyle w:val="2"/>
        <w:rPr>
          <w:rFonts w:ascii="Times New Roman" w:hAnsi="Times New Roman" w:cs="Times New Roman" w:eastAsiaTheme="minorEastAsia"/>
        </w:rPr>
      </w:pPr>
      <w:r>
        <w:rPr>
          <w:rFonts w:ascii="Times New Roman" w:cs="Times New Roman" w:hAnsiTheme="minorEastAsia" w:eastAsiaTheme="minorEastAsia"/>
        </w:rPr>
        <w:t>（</w:t>
      </w:r>
      <w:r>
        <w:rPr>
          <w:rFonts w:hint="eastAsia" w:ascii="Times New Roman" w:hAnsi="Times New Roman" w:cs="Times New Roman" w:eastAsiaTheme="minorEastAsia"/>
        </w:rPr>
        <w:t>12</w:t>
      </w:r>
      <w:r>
        <w:rPr>
          <w:rFonts w:ascii="Times New Roman" w:cs="Times New Roman" w:hAnsiTheme="minorEastAsia" w:eastAsiaTheme="minorEastAsia"/>
        </w:rPr>
        <w:t>）</w:t>
      </w:r>
      <w:r>
        <w:rPr>
          <w:rFonts w:ascii="Times New Roman" w:hAnsi="Times New Roman" w:cs="Times New Roman" w:eastAsiaTheme="minorEastAsia"/>
        </w:rPr>
        <w:t>国土资源部办公厅关于做好矿山地质环境保护与土地复垦方案编报有关工作的通知（国</w:t>
      </w:r>
      <w:r>
        <w:rPr>
          <w:rFonts w:ascii="Times New Roman" w:cs="Times New Roman" w:hAnsiTheme="minorEastAsia" w:eastAsiaTheme="minorEastAsia"/>
        </w:rPr>
        <w:t>土资规</w:t>
      </w:r>
      <w:r>
        <w:rPr>
          <w:rFonts w:ascii="Times New Roman" w:hAnsi="Times New Roman" w:cs="Times New Roman" w:eastAsiaTheme="minorEastAsia"/>
        </w:rPr>
        <w:t>[2016]21</w:t>
      </w:r>
      <w:r>
        <w:rPr>
          <w:rFonts w:ascii="Times New Roman" w:cs="Times New Roman" w:hAnsiTheme="minorEastAsia" w:eastAsiaTheme="minorEastAsia"/>
        </w:rPr>
        <w:t>号）。</w:t>
      </w:r>
    </w:p>
    <w:p>
      <w:pPr>
        <w:pStyle w:val="2"/>
        <w:rPr>
          <w:rFonts w:ascii="Times New Roman" w:hAnsi="Times New Roman" w:cs="Times New Roman" w:eastAsiaTheme="minorEastAsia"/>
        </w:rPr>
      </w:pPr>
      <w:r>
        <w:rPr>
          <w:rFonts w:ascii="Times New Roman" w:cs="Times New Roman" w:hAnsiTheme="minorEastAsia" w:eastAsiaTheme="minorEastAsia"/>
        </w:rPr>
        <w:t>（</w:t>
      </w:r>
      <w:r>
        <w:rPr>
          <w:rFonts w:hint="eastAsia" w:ascii="Times New Roman" w:hAnsi="Times New Roman" w:cs="Times New Roman" w:eastAsiaTheme="minorEastAsia"/>
        </w:rPr>
        <w:t>13</w:t>
      </w:r>
      <w:r>
        <w:rPr>
          <w:rFonts w:ascii="Times New Roman" w:cs="Times New Roman" w:hAnsiTheme="minorEastAsia" w:eastAsiaTheme="minorEastAsia"/>
        </w:rPr>
        <w:t>）《关于印发土地整治工程营业税改征增值税计价依据调整过渡实施方案的通知》国土资厅发〔</w:t>
      </w:r>
      <w:r>
        <w:rPr>
          <w:rFonts w:ascii="Times New Roman" w:hAnsi="Times New Roman" w:cs="Times New Roman" w:eastAsiaTheme="minorEastAsia"/>
        </w:rPr>
        <w:t>2017</w:t>
      </w:r>
      <w:r>
        <w:rPr>
          <w:rFonts w:ascii="Times New Roman" w:cs="Times New Roman" w:hAnsiTheme="minorEastAsia" w:eastAsiaTheme="minorEastAsia"/>
        </w:rPr>
        <w:t>〕</w:t>
      </w:r>
      <w:r>
        <w:rPr>
          <w:rFonts w:ascii="Times New Roman" w:hAnsi="Times New Roman" w:cs="Times New Roman" w:eastAsiaTheme="minorEastAsia"/>
        </w:rPr>
        <w:t>19</w:t>
      </w:r>
      <w:r>
        <w:rPr>
          <w:rFonts w:ascii="Times New Roman" w:cs="Times New Roman" w:hAnsiTheme="minorEastAsia" w:eastAsiaTheme="minorEastAsia"/>
        </w:rPr>
        <w:t>号文；</w:t>
      </w:r>
    </w:p>
    <w:p>
      <w:pPr>
        <w:pStyle w:val="2"/>
        <w:rPr>
          <w:rFonts w:ascii="Times New Roman" w:hAnsi="Times New Roman" w:cs="Times New Roman" w:eastAsiaTheme="minorEastAsia"/>
        </w:rPr>
      </w:pPr>
      <w:r>
        <w:rPr>
          <w:rFonts w:ascii="Times New Roman" w:cs="Times New Roman" w:hAnsiTheme="minorEastAsia" w:eastAsiaTheme="minorEastAsia"/>
        </w:rPr>
        <w:t>（</w:t>
      </w:r>
      <w:r>
        <w:rPr>
          <w:rFonts w:hint="eastAsia" w:ascii="Times New Roman" w:hAnsi="Times New Roman" w:cs="Times New Roman" w:eastAsiaTheme="minorEastAsia"/>
        </w:rPr>
        <w:t>14</w:t>
      </w:r>
      <w:r>
        <w:rPr>
          <w:rFonts w:ascii="Times New Roman" w:cs="Times New Roman" w:hAnsiTheme="minorEastAsia" w:eastAsiaTheme="minorEastAsia"/>
        </w:rPr>
        <w:t>）《财政部国家税务总局海关总署关于深化增值税改革有关政策的公告》财政部税务总局海关总署公告</w:t>
      </w:r>
      <w:r>
        <w:rPr>
          <w:rFonts w:ascii="Times New Roman" w:hAnsi="Times New Roman" w:cs="Times New Roman" w:eastAsiaTheme="minorEastAsia"/>
        </w:rPr>
        <w:t>2019</w:t>
      </w:r>
      <w:r>
        <w:rPr>
          <w:rFonts w:ascii="Times New Roman" w:cs="Times New Roman" w:hAnsiTheme="minorEastAsia" w:eastAsiaTheme="minorEastAsia"/>
        </w:rPr>
        <w:t>年第</w:t>
      </w:r>
      <w:r>
        <w:rPr>
          <w:rFonts w:ascii="Times New Roman" w:hAnsi="Times New Roman" w:cs="Times New Roman" w:eastAsiaTheme="minorEastAsia"/>
        </w:rPr>
        <w:t>39</w:t>
      </w:r>
      <w:r>
        <w:rPr>
          <w:rFonts w:ascii="Times New Roman" w:cs="Times New Roman" w:hAnsiTheme="minorEastAsia" w:eastAsiaTheme="minorEastAsia"/>
        </w:rPr>
        <w:t>号；</w:t>
      </w:r>
    </w:p>
    <w:p>
      <w:pPr>
        <w:pStyle w:val="2"/>
        <w:rPr>
          <w:rFonts w:ascii="Times New Roman" w:hAnsi="Times New Roman" w:cs="Times New Roman" w:eastAsiaTheme="minorEastAsia"/>
        </w:rPr>
      </w:pPr>
      <w:r>
        <w:rPr>
          <w:rFonts w:ascii="Times New Roman" w:cs="Times New Roman" w:hAnsiTheme="minorEastAsia" w:eastAsiaTheme="minorEastAsia"/>
        </w:rPr>
        <w:t>（</w:t>
      </w:r>
      <w:r>
        <w:rPr>
          <w:rFonts w:hint="eastAsia" w:ascii="Times New Roman" w:hAnsi="Times New Roman" w:cs="Times New Roman" w:eastAsiaTheme="minorEastAsia"/>
        </w:rPr>
        <w:t>15</w:t>
      </w:r>
      <w:r>
        <w:rPr>
          <w:rFonts w:ascii="Times New Roman" w:cs="Times New Roman" w:hAnsiTheme="minorEastAsia" w:eastAsiaTheme="minorEastAsia"/>
        </w:rPr>
        <w:t>）山西省</w:t>
      </w:r>
      <w:r>
        <w:rPr>
          <w:rFonts w:ascii="Times New Roman" w:hAnsi="Times New Roman" w:cs="Times New Roman" w:eastAsiaTheme="minorEastAsia"/>
        </w:rPr>
        <w:t>20</w:t>
      </w:r>
      <w:r>
        <w:rPr>
          <w:rFonts w:hint="eastAsia" w:ascii="Times New Roman" w:hAnsi="Times New Roman" w:cs="Times New Roman" w:eastAsiaTheme="minorEastAsia"/>
        </w:rPr>
        <w:t>20</w:t>
      </w:r>
      <w:r>
        <w:rPr>
          <w:rFonts w:ascii="Times New Roman" w:cs="Times New Roman" w:hAnsiTheme="minorEastAsia" w:eastAsiaTheme="minorEastAsia"/>
        </w:rPr>
        <w:t>年制定的最低工资标准；</w:t>
      </w:r>
    </w:p>
    <w:p>
      <w:pPr>
        <w:pStyle w:val="2"/>
        <w:rPr>
          <w:rFonts w:ascii="Times New Roman" w:hAnsi="Times New Roman" w:cs="Times New Roman" w:eastAsiaTheme="minorEastAsia"/>
        </w:rPr>
      </w:pPr>
      <w:r>
        <w:rPr>
          <w:rFonts w:ascii="Times New Roman" w:cs="Times New Roman" w:hAnsiTheme="minorEastAsia" w:eastAsiaTheme="minorEastAsia"/>
        </w:rPr>
        <w:t>（</w:t>
      </w:r>
      <w:r>
        <w:rPr>
          <w:rFonts w:hint="eastAsia" w:ascii="Times New Roman" w:hAnsi="Times New Roman" w:cs="Times New Roman" w:eastAsiaTheme="minorEastAsia"/>
        </w:rPr>
        <w:t>16</w:t>
      </w:r>
      <w:r>
        <w:rPr>
          <w:rFonts w:ascii="Times New Roman" w:cs="Times New Roman" w:hAnsiTheme="minorEastAsia" w:eastAsiaTheme="minorEastAsia"/>
        </w:rPr>
        <w:t>）当地定额标准。</w:t>
      </w:r>
    </w:p>
    <w:p>
      <w:pPr>
        <w:pStyle w:val="2"/>
        <w:rPr>
          <w:rFonts w:ascii="Times New Roman" w:hAnsi="Times New Roman" w:cs="Times New Roman" w:eastAsiaTheme="minorEastAsia"/>
        </w:rPr>
      </w:pPr>
      <w:r>
        <w:rPr>
          <w:rFonts w:ascii="Times New Roman" w:cs="Times New Roman" w:hAnsiTheme="minorEastAsia" w:eastAsiaTheme="minorEastAsia"/>
        </w:rPr>
        <w:t>概算编制采用的价格水平年为</w:t>
      </w:r>
      <w:r>
        <w:rPr>
          <w:rFonts w:ascii="Times New Roman" w:hAnsi="Times New Roman" w:cs="Times New Roman" w:eastAsiaTheme="minorEastAsia"/>
        </w:rPr>
        <w:t>20</w:t>
      </w:r>
      <w:r>
        <w:rPr>
          <w:rFonts w:hint="eastAsia" w:ascii="Times New Roman" w:hAnsi="Times New Roman" w:cs="Times New Roman" w:eastAsiaTheme="minorEastAsia"/>
        </w:rPr>
        <w:t>20</w:t>
      </w:r>
      <w:r>
        <w:rPr>
          <w:rFonts w:ascii="Times New Roman" w:cs="Times New Roman" w:hAnsiTheme="minorEastAsia" w:eastAsiaTheme="minorEastAsia"/>
        </w:rPr>
        <w:t>年，将根据复垦工程实际需要，参照上述标准提出复垦总费用，如施工时物价有变动，应根据开工年的物价和政策在工程开工年重新调整。</w:t>
      </w:r>
    </w:p>
    <w:p>
      <w:pPr>
        <w:pStyle w:val="2"/>
        <w:rPr>
          <w:rFonts w:ascii="Times New Roman" w:hAnsi="Times New Roman" w:cs="Times New Roman" w:eastAsiaTheme="minorEastAsia"/>
        </w:rPr>
      </w:pPr>
      <w:r>
        <w:rPr>
          <w:rFonts w:ascii="Times New Roman" w:hAnsi="Times New Roman" w:cs="Times New Roman" w:eastAsiaTheme="minorEastAsia"/>
        </w:rPr>
        <w:t>2</w:t>
      </w:r>
      <w:r>
        <w:rPr>
          <w:rFonts w:ascii="Times New Roman" w:cs="Times New Roman" w:hAnsiTheme="minorEastAsia" w:eastAsiaTheme="minorEastAsia"/>
        </w:rPr>
        <w:t>、编制原则</w:t>
      </w:r>
    </w:p>
    <w:p>
      <w:pPr>
        <w:pStyle w:val="2"/>
        <w:rPr>
          <w:rFonts w:ascii="Times New Roman" w:hAnsi="Times New Roman" w:cs="Times New Roman" w:eastAsiaTheme="minorEastAsia"/>
        </w:rPr>
      </w:pPr>
      <w:r>
        <w:rPr>
          <w:rFonts w:ascii="Times New Roman" w:cs="Times New Roman" w:hAnsiTheme="minorEastAsia" w:eastAsiaTheme="minorEastAsia"/>
        </w:rPr>
        <w:t>（</w:t>
      </w:r>
      <w:r>
        <w:rPr>
          <w:rFonts w:ascii="Times New Roman" w:hAnsi="Times New Roman" w:cs="Times New Roman" w:eastAsiaTheme="minorEastAsia"/>
        </w:rPr>
        <w:t>1</w:t>
      </w:r>
      <w:r>
        <w:rPr>
          <w:rFonts w:ascii="Times New Roman" w:cs="Times New Roman" w:hAnsiTheme="minorEastAsia" w:eastAsiaTheme="minorEastAsia"/>
        </w:rPr>
        <w:t>）符合国家有关的法律、法规规定；</w:t>
      </w:r>
    </w:p>
    <w:p>
      <w:pPr>
        <w:pStyle w:val="2"/>
        <w:rPr>
          <w:rFonts w:ascii="Times New Roman" w:hAnsi="Times New Roman" w:cs="Times New Roman" w:eastAsiaTheme="minorEastAsia"/>
        </w:rPr>
      </w:pPr>
      <w:r>
        <w:rPr>
          <w:rFonts w:ascii="Times New Roman" w:cs="Times New Roman" w:hAnsiTheme="minorEastAsia" w:eastAsiaTheme="minorEastAsia"/>
        </w:rPr>
        <w:t>（</w:t>
      </w:r>
      <w:r>
        <w:rPr>
          <w:rFonts w:ascii="Times New Roman" w:hAnsi="Times New Roman" w:cs="Times New Roman" w:eastAsiaTheme="minorEastAsia"/>
        </w:rPr>
        <w:t>2</w:t>
      </w:r>
      <w:r>
        <w:rPr>
          <w:rFonts w:ascii="Times New Roman" w:cs="Times New Roman" w:hAnsiTheme="minorEastAsia" w:eastAsiaTheme="minorEastAsia"/>
        </w:rPr>
        <w:t>）土地复垦投资应进入工程总估算中；</w:t>
      </w:r>
    </w:p>
    <w:p>
      <w:pPr>
        <w:pStyle w:val="2"/>
        <w:rPr>
          <w:rFonts w:ascii="Times New Roman" w:hAnsi="Times New Roman" w:cs="Times New Roman" w:eastAsiaTheme="minorEastAsia"/>
        </w:rPr>
      </w:pPr>
      <w:r>
        <w:rPr>
          <w:rFonts w:ascii="Times New Roman" w:cs="Times New Roman" w:hAnsiTheme="minorEastAsia" w:eastAsiaTheme="minorEastAsia"/>
        </w:rPr>
        <w:t>（</w:t>
      </w:r>
      <w:r>
        <w:rPr>
          <w:rFonts w:ascii="Times New Roman" w:hAnsi="Times New Roman" w:cs="Times New Roman" w:eastAsiaTheme="minorEastAsia"/>
        </w:rPr>
        <w:t>3</w:t>
      </w:r>
      <w:r>
        <w:rPr>
          <w:rFonts w:ascii="Times New Roman" w:cs="Times New Roman" w:hAnsiTheme="minorEastAsia" w:eastAsiaTheme="minorEastAsia"/>
        </w:rPr>
        <w:t>）工程建设与复垦措施同步设计、同步投资建设；</w:t>
      </w:r>
    </w:p>
    <w:p>
      <w:pPr>
        <w:pStyle w:val="2"/>
        <w:rPr>
          <w:rFonts w:ascii="Times New Roman" w:hAnsi="Times New Roman" w:cs="Times New Roman" w:eastAsiaTheme="minorEastAsia"/>
        </w:rPr>
      </w:pPr>
      <w:r>
        <w:rPr>
          <w:rFonts w:ascii="Times New Roman" w:cs="Times New Roman" w:hAnsiTheme="minorEastAsia" w:eastAsiaTheme="minorEastAsia"/>
        </w:rPr>
        <w:t>（</w:t>
      </w:r>
      <w:r>
        <w:rPr>
          <w:rFonts w:ascii="Times New Roman" w:hAnsi="Times New Roman" w:cs="Times New Roman" w:eastAsiaTheme="minorEastAsia"/>
        </w:rPr>
        <w:t>4</w:t>
      </w:r>
      <w:r>
        <w:rPr>
          <w:rFonts w:ascii="Times New Roman" w:cs="Times New Roman" w:hAnsiTheme="minorEastAsia" w:eastAsiaTheme="minorEastAsia"/>
        </w:rPr>
        <w:t>）高起点、高标准原则；</w:t>
      </w:r>
    </w:p>
    <w:p>
      <w:pPr>
        <w:pStyle w:val="2"/>
        <w:rPr>
          <w:rFonts w:ascii="Times New Roman" w:hAnsi="Times New Roman" w:cs="Times New Roman" w:eastAsiaTheme="minorEastAsia"/>
        </w:rPr>
      </w:pPr>
      <w:r>
        <w:rPr>
          <w:rFonts w:ascii="Times New Roman" w:cs="Times New Roman" w:hAnsiTheme="minorEastAsia" w:eastAsiaTheme="minorEastAsia"/>
        </w:rPr>
        <w:t>（</w:t>
      </w:r>
      <w:r>
        <w:rPr>
          <w:rFonts w:ascii="Times New Roman" w:hAnsi="Times New Roman" w:cs="Times New Roman" w:eastAsiaTheme="minorEastAsia"/>
        </w:rPr>
        <w:t>5</w:t>
      </w:r>
      <w:r>
        <w:rPr>
          <w:rFonts w:ascii="Times New Roman" w:cs="Times New Roman" w:hAnsiTheme="minorEastAsia" w:eastAsiaTheme="minorEastAsia"/>
        </w:rPr>
        <w:t>）指导价与市场价相结合的原则；</w:t>
      </w:r>
    </w:p>
    <w:p>
      <w:pPr>
        <w:pStyle w:val="2"/>
        <w:rPr>
          <w:rFonts w:ascii="Times New Roman" w:hAnsi="Times New Roman" w:cs="Times New Roman" w:eastAsiaTheme="minorEastAsia"/>
        </w:rPr>
      </w:pPr>
      <w:r>
        <w:rPr>
          <w:rFonts w:ascii="Times New Roman" w:cs="Times New Roman" w:hAnsiTheme="minorEastAsia" w:eastAsiaTheme="minorEastAsia"/>
        </w:rPr>
        <w:t>（</w:t>
      </w:r>
      <w:r>
        <w:rPr>
          <w:rFonts w:ascii="Times New Roman" w:hAnsi="Times New Roman" w:cs="Times New Roman" w:eastAsiaTheme="minorEastAsia"/>
        </w:rPr>
        <w:t>6</w:t>
      </w:r>
      <w:r>
        <w:rPr>
          <w:rFonts w:ascii="Times New Roman" w:cs="Times New Roman" w:hAnsiTheme="minorEastAsia" w:eastAsiaTheme="minorEastAsia"/>
        </w:rPr>
        <w:t>）科学、合理、高效的原则。</w:t>
      </w:r>
    </w:p>
    <w:p>
      <w:pPr>
        <w:pStyle w:val="31"/>
      </w:pPr>
      <w:bookmarkStart w:id="251" w:name="_Toc71036678"/>
      <w:r>
        <w:rPr>
          <w:rFonts w:hint="eastAsia"/>
        </w:rPr>
        <w:t>6.2.2经费估算</w:t>
      </w:r>
      <w:bookmarkEnd w:id="251"/>
    </w:p>
    <w:p>
      <w:pPr>
        <w:pStyle w:val="2"/>
        <w:rPr>
          <w:rFonts w:ascii="Times New Roman" w:hAnsi="Times New Roman" w:cs="Times New Roman"/>
        </w:rPr>
      </w:pPr>
      <w:r>
        <w:rPr>
          <w:rFonts w:ascii="Times New Roman" w:cs="Times New Roman"/>
          <w:lang w:bidi="en-US"/>
        </w:rPr>
        <w:t>费用包括工程施工费、设备费、其他费用（前期工作费、工程监理费、竣</w:t>
      </w:r>
      <w:r>
        <w:rPr>
          <w:rFonts w:ascii="Times New Roman" w:cs="Times New Roman"/>
        </w:rPr>
        <w:t>工验收费、业主管理费）、监测与管护费、预备费（基本预备费和风险金）。</w:t>
      </w:r>
    </w:p>
    <w:p>
      <w:pPr>
        <w:pStyle w:val="2"/>
        <w:rPr>
          <w:rFonts w:ascii="Times New Roman" w:hAnsi="Times New Roman" w:cs="Times New Roman"/>
        </w:rPr>
      </w:pPr>
      <w:r>
        <w:rPr>
          <w:rFonts w:ascii="Times New Roman" w:cs="Times New Roman"/>
        </w:rPr>
        <w:t>矿山生态环境治理恢复经费包括工程施工费、设备费、其他费用（前期工作费、工程监理费、竣工验收费、业主管理费）、管护费、预备费（基本预备费和风险金）与土地复垦费用一致，故不再进行估算，只对矿山生态环境治理恢复年审申报制度和季报制度费用、环境污染监测费用以及生态环境监测费用。</w:t>
      </w:r>
    </w:p>
    <w:p>
      <w:pPr>
        <w:pStyle w:val="2"/>
        <w:rPr>
          <w:rFonts w:ascii="Times New Roman" w:hAnsi="Times New Roman" w:cs="Times New Roman"/>
        </w:rPr>
      </w:pPr>
      <w:r>
        <w:rPr>
          <w:rFonts w:ascii="Times New Roman" w:hAnsi="Times New Roman" w:cs="Times New Roman"/>
        </w:rPr>
        <w:t>1</w:t>
      </w:r>
      <w:r>
        <w:rPr>
          <w:rFonts w:ascii="Times New Roman" w:cs="Times New Roman"/>
        </w:rPr>
        <w:t>、估算表</w:t>
      </w:r>
    </w:p>
    <w:p>
      <w:pPr>
        <w:pStyle w:val="2"/>
        <w:rPr>
          <w:rFonts w:ascii="Times New Roman" w:hAnsi="Times New Roman" w:cs="Times New Roman"/>
        </w:rPr>
      </w:pPr>
      <w:r>
        <w:rPr>
          <w:rFonts w:ascii="Times New Roman" w:cs="Times New Roman"/>
        </w:rPr>
        <w:t>估算总表见表</w:t>
      </w:r>
      <w:r>
        <w:rPr>
          <w:rFonts w:hint="eastAsia" w:ascii="Times New Roman" w:hAnsi="Times New Roman" w:cs="Times New Roman"/>
        </w:rPr>
        <w:t>6-12</w:t>
      </w:r>
      <w:r>
        <w:rPr>
          <w:rFonts w:hint="eastAsia" w:ascii="Times New Roman" w:cs="Times New Roman"/>
        </w:rPr>
        <w:t>，</w:t>
      </w:r>
      <w:r>
        <w:rPr>
          <w:rFonts w:ascii="Times New Roman" w:cs="Times New Roman"/>
        </w:rPr>
        <w:t>矿山地质环境保护与恢复治理工程费用估算表见表</w:t>
      </w:r>
      <w:r>
        <w:rPr>
          <w:rFonts w:hint="eastAsia" w:ascii="Times New Roman" w:cs="Times New Roman"/>
        </w:rPr>
        <w:t>6-13，</w:t>
      </w:r>
      <w:r>
        <w:rPr>
          <w:rFonts w:ascii="Times New Roman" w:cs="Times New Roman"/>
        </w:rPr>
        <w:t>矿山土地复垦费用估算表见表</w:t>
      </w:r>
      <w:r>
        <w:rPr>
          <w:rFonts w:hint="eastAsia" w:ascii="Times New Roman" w:cs="Times New Roman"/>
        </w:rPr>
        <w:t>6-14、6-15</w:t>
      </w:r>
      <w:r>
        <w:rPr>
          <w:rFonts w:ascii="Times New Roman" w:cs="Times New Roman"/>
        </w:rPr>
        <w:t>；其他费用估算表见表</w:t>
      </w:r>
      <w:r>
        <w:rPr>
          <w:rFonts w:hint="eastAsia" w:ascii="Times New Roman" w:hAnsi="Times New Roman" w:cs="Times New Roman"/>
        </w:rPr>
        <w:t>6-16</w:t>
      </w:r>
      <w:r>
        <w:rPr>
          <w:rFonts w:ascii="Times New Roman" w:cs="Times New Roman"/>
        </w:rPr>
        <w:t>；监测费见表</w:t>
      </w:r>
      <w:r>
        <w:rPr>
          <w:rFonts w:hint="eastAsia" w:ascii="Times New Roman" w:hAnsi="Times New Roman" w:cs="Times New Roman"/>
        </w:rPr>
        <w:t>6-17</w:t>
      </w:r>
      <w:r>
        <w:rPr>
          <w:rFonts w:ascii="Times New Roman" w:cs="Times New Roman"/>
        </w:rPr>
        <w:t>。</w:t>
      </w:r>
    </w:p>
    <w:p>
      <w:pPr>
        <w:pStyle w:val="2"/>
        <w:rPr>
          <w:rFonts w:ascii="Times New Roman" w:hAnsi="Times New Roman" w:cs="Times New Roman"/>
        </w:rPr>
      </w:pPr>
      <w:r>
        <w:rPr>
          <w:rFonts w:ascii="Times New Roman" w:hAnsi="Times New Roman" w:cs="Times New Roman"/>
        </w:rPr>
        <w:t>2</w:t>
      </w:r>
      <w:r>
        <w:rPr>
          <w:rFonts w:ascii="Times New Roman" w:cs="Times New Roman"/>
        </w:rPr>
        <w:t>、估算结果</w:t>
      </w:r>
    </w:p>
    <w:p>
      <w:pPr>
        <w:pStyle w:val="2"/>
        <w:rPr>
          <w:rFonts w:ascii="Times New Roman" w:hAnsi="Times New Roman" w:cs="Times New Roman"/>
        </w:rPr>
      </w:pPr>
      <w:r>
        <w:rPr>
          <w:rFonts w:ascii="Times New Roman" w:cs="Times New Roman"/>
        </w:rPr>
        <w:t>本项目总投资为</w:t>
      </w:r>
      <w:r>
        <w:rPr>
          <w:rFonts w:hint="eastAsia" w:ascii="Times New Roman" w:hAnsi="Times New Roman" w:cs="Times New Roman"/>
        </w:rPr>
        <w:t>194.51</w:t>
      </w:r>
      <w:r>
        <w:rPr>
          <w:rFonts w:ascii="Times New Roman" w:cs="Times New Roman"/>
        </w:rPr>
        <w:t>万元，其中：</w:t>
      </w:r>
      <w:r>
        <w:rPr>
          <w:rFonts w:hint="eastAsia" w:ascii="Times New Roman" w:cs="Times New Roman"/>
        </w:rPr>
        <w:t>矿山地质环境保护与恢复治理费用23.68万元，</w:t>
      </w:r>
      <w:r>
        <w:rPr>
          <w:rFonts w:ascii="Times New Roman" w:cs="Times New Roman"/>
        </w:rPr>
        <w:t>矿山土地复垦费用</w:t>
      </w:r>
      <w:r>
        <w:rPr>
          <w:rFonts w:ascii="Times New Roman" w:hAnsi="Times New Roman" w:cs="Times New Roman"/>
        </w:rPr>
        <w:t>68.83</w:t>
      </w:r>
      <w:r>
        <w:rPr>
          <w:rFonts w:ascii="Times New Roman" w:cs="Times New Roman"/>
        </w:rPr>
        <w:t>万元，生态环境保护与恢复治理费用</w:t>
      </w:r>
      <w:r>
        <w:rPr>
          <w:rFonts w:ascii="Times New Roman" w:hAnsi="Times New Roman" w:cs="Times New Roman"/>
        </w:rPr>
        <w:t>5</w:t>
      </w:r>
      <w:r>
        <w:rPr>
          <w:rFonts w:hint="eastAsia" w:ascii="Times New Roman" w:hAnsi="Times New Roman" w:cs="Times New Roman"/>
        </w:rPr>
        <w:t>1</w:t>
      </w:r>
      <w:r>
        <w:rPr>
          <w:rFonts w:ascii="Times New Roman" w:cs="Times New Roman"/>
        </w:rPr>
        <w:t>万元。</w:t>
      </w:r>
    </w:p>
    <w:p>
      <w:pPr>
        <w:pStyle w:val="41"/>
        <w:numPr>
          <w:ilvl w:val="0"/>
          <w:numId w:val="0"/>
        </w:numPr>
        <w:spacing w:line="340" w:lineRule="exact"/>
        <w:rPr>
          <w:rFonts w:ascii="Times New Roman" w:eastAsia="宋体"/>
          <w:b/>
          <w:kern w:val="2"/>
          <w:sz w:val="24"/>
          <w:szCs w:val="24"/>
        </w:rPr>
      </w:pPr>
      <w:r>
        <w:rPr>
          <w:rFonts w:ascii="Times New Roman" w:eastAsia="宋体"/>
          <w:bCs/>
          <w:sz w:val="24"/>
          <w:szCs w:val="24"/>
        </w:rPr>
        <w:t>估算总表             表</w:t>
      </w:r>
      <w:r>
        <w:rPr>
          <w:rFonts w:hint="eastAsia" w:ascii="Times New Roman" w:eastAsia="宋体"/>
          <w:bCs/>
          <w:sz w:val="24"/>
          <w:szCs w:val="24"/>
        </w:rPr>
        <w:t>6-12</w:t>
      </w:r>
    </w:p>
    <w:p>
      <w:pPr>
        <w:snapToGrid w:val="0"/>
        <w:spacing w:line="340" w:lineRule="exact"/>
        <w:jc w:val="right"/>
        <w:rPr>
          <w:sz w:val="28"/>
          <w:szCs w:val="28"/>
        </w:rPr>
      </w:pPr>
      <w:r>
        <w:rPr>
          <w:kern w:val="0"/>
          <w:sz w:val="20"/>
          <w:szCs w:val="20"/>
        </w:rPr>
        <w:t>金额单位：万元</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3816"/>
        <w:gridCol w:w="1862"/>
        <w:gridCol w:w="29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53" w:type="pct"/>
            <w:noWrap/>
            <w:vAlign w:val="center"/>
          </w:tcPr>
          <w:p>
            <w:pPr>
              <w:widowControl/>
              <w:spacing w:line="240" w:lineRule="exact"/>
              <w:jc w:val="center"/>
              <w:rPr>
                <w:kern w:val="0"/>
                <w:szCs w:val="24"/>
              </w:rPr>
            </w:pPr>
            <w:r>
              <w:rPr>
                <w:kern w:val="0"/>
                <w:szCs w:val="24"/>
              </w:rPr>
              <w:t>序号</w:t>
            </w:r>
          </w:p>
        </w:tc>
        <w:tc>
          <w:tcPr>
            <w:tcW w:w="1954" w:type="pct"/>
            <w:noWrap/>
            <w:vAlign w:val="center"/>
          </w:tcPr>
          <w:p>
            <w:pPr>
              <w:widowControl/>
              <w:spacing w:line="240" w:lineRule="exact"/>
              <w:jc w:val="center"/>
              <w:rPr>
                <w:kern w:val="0"/>
                <w:szCs w:val="24"/>
              </w:rPr>
            </w:pPr>
            <w:r>
              <w:rPr>
                <w:kern w:val="0"/>
                <w:szCs w:val="24"/>
              </w:rPr>
              <w:t>工程或费用名称</w:t>
            </w:r>
          </w:p>
        </w:tc>
        <w:tc>
          <w:tcPr>
            <w:tcW w:w="1064" w:type="pct"/>
            <w:vAlign w:val="center"/>
          </w:tcPr>
          <w:p>
            <w:pPr>
              <w:widowControl/>
              <w:spacing w:line="240" w:lineRule="exact"/>
              <w:jc w:val="center"/>
              <w:rPr>
                <w:kern w:val="0"/>
                <w:szCs w:val="24"/>
              </w:rPr>
            </w:pPr>
            <w:r>
              <w:rPr>
                <w:kern w:val="0"/>
                <w:szCs w:val="24"/>
              </w:rPr>
              <w:t>预算金额</w:t>
            </w:r>
          </w:p>
        </w:tc>
        <w:tc>
          <w:tcPr>
            <w:tcW w:w="1629" w:type="pct"/>
            <w:vAlign w:val="center"/>
          </w:tcPr>
          <w:p>
            <w:pPr>
              <w:widowControl/>
              <w:spacing w:line="240" w:lineRule="exact"/>
              <w:jc w:val="center"/>
              <w:rPr>
                <w:kern w:val="0"/>
                <w:szCs w:val="24"/>
              </w:rPr>
            </w:pPr>
            <w:r>
              <w:rPr>
                <w:kern w:val="0"/>
                <w:szCs w:val="24"/>
              </w:rPr>
              <w:t>各项费用占总费用的比例(%)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53" w:type="pct"/>
            <w:noWrap/>
            <w:vAlign w:val="center"/>
          </w:tcPr>
          <w:p>
            <w:pPr>
              <w:widowControl/>
              <w:spacing w:line="240" w:lineRule="exact"/>
              <w:jc w:val="center"/>
              <w:rPr>
                <w:kern w:val="0"/>
                <w:szCs w:val="24"/>
              </w:rPr>
            </w:pPr>
            <w:r>
              <w:rPr>
                <w:kern w:val="0"/>
                <w:szCs w:val="24"/>
              </w:rPr>
              <w:t>一</w:t>
            </w:r>
          </w:p>
        </w:tc>
        <w:tc>
          <w:tcPr>
            <w:tcW w:w="1954" w:type="pct"/>
            <w:noWrap/>
            <w:vAlign w:val="center"/>
          </w:tcPr>
          <w:p>
            <w:pPr>
              <w:widowControl/>
              <w:spacing w:line="240" w:lineRule="exact"/>
              <w:jc w:val="center"/>
              <w:rPr>
                <w:kern w:val="0"/>
                <w:szCs w:val="24"/>
              </w:rPr>
            </w:pPr>
            <w:r>
              <w:rPr>
                <w:rFonts w:hint="eastAsia"/>
                <w:kern w:val="0"/>
                <w:szCs w:val="24"/>
              </w:rPr>
              <w:t>矿山地质环境保护与恢复治理费用</w:t>
            </w:r>
          </w:p>
        </w:tc>
        <w:tc>
          <w:tcPr>
            <w:tcW w:w="1064" w:type="pct"/>
            <w:vAlign w:val="center"/>
          </w:tcPr>
          <w:p>
            <w:pPr>
              <w:widowControl/>
              <w:spacing w:line="240" w:lineRule="exact"/>
              <w:jc w:val="center"/>
              <w:rPr>
                <w:kern w:val="0"/>
                <w:szCs w:val="24"/>
              </w:rPr>
            </w:pPr>
            <w:r>
              <w:rPr>
                <w:rFonts w:hint="eastAsia"/>
                <w:kern w:val="0"/>
                <w:szCs w:val="24"/>
              </w:rPr>
              <w:t>23.68</w:t>
            </w:r>
          </w:p>
        </w:tc>
        <w:tc>
          <w:tcPr>
            <w:tcW w:w="1629" w:type="pct"/>
            <w:vAlign w:val="center"/>
          </w:tcPr>
          <w:p>
            <w:pPr>
              <w:widowControl/>
              <w:spacing w:line="240" w:lineRule="exact"/>
              <w:jc w:val="center"/>
              <w:rPr>
                <w:kern w:val="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53" w:type="pct"/>
            <w:noWrap/>
            <w:vAlign w:val="center"/>
          </w:tcPr>
          <w:p>
            <w:pPr>
              <w:widowControl/>
              <w:spacing w:line="240" w:lineRule="exact"/>
              <w:jc w:val="center"/>
              <w:rPr>
                <w:kern w:val="0"/>
                <w:szCs w:val="24"/>
              </w:rPr>
            </w:pPr>
            <w:r>
              <w:rPr>
                <w:rFonts w:hint="eastAsia"/>
                <w:kern w:val="0"/>
                <w:szCs w:val="24"/>
              </w:rPr>
              <w:t>二</w:t>
            </w:r>
          </w:p>
        </w:tc>
        <w:tc>
          <w:tcPr>
            <w:tcW w:w="1954" w:type="pct"/>
            <w:noWrap/>
            <w:vAlign w:val="center"/>
          </w:tcPr>
          <w:p>
            <w:pPr>
              <w:widowControl/>
              <w:spacing w:line="240" w:lineRule="exact"/>
              <w:jc w:val="center"/>
              <w:rPr>
                <w:kern w:val="0"/>
                <w:szCs w:val="24"/>
              </w:rPr>
            </w:pPr>
            <w:r>
              <w:rPr>
                <w:kern w:val="0"/>
                <w:szCs w:val="24"/>
              </w:rPr>
              <w:t>矿山复垦费用</w:t>
            </w:r>
          </w:p>
        </w:tc>
        <w:tc>
          <w:tcPr>
            <w:tcW w:w="1064" w:type="pct"/>
            <w:noWrap/>
            <w:vAlign w:val="center"/>
          </w:tcPr>
          <w:p>
            <w:pPr>
              <w:spacing w:line="240" w:lineRule="exact"/>
              <w:jc w:val="center"/>
              <w:rPr>
                <w:szCs w:val="24"/>
              </w:rPr>
            </w:pPr>
            <w:r>
              <w:rPr>
                <w:rFonts w:hint="eastAsia"/>
                <w:szCs w:val="24"/>
              </w:rPr>
              <w:t>68.83</w:t>
            </w:r>
          </w:p>
        </w:tc>
        <w:tc>
          <w:tcPr>
            <w:tcW w:w="1629" w:type="pct"/>
            <w:noWrap/>
            <w:vAlign w:val="center"/>
          </w:tcPr>
          <w:p>
            <w:pPr>
              <w:jc w:val="center"/>
              <w:rPr>
                <w:szCs w:val="24"/>
              </w:rPr>
            </w:pPr>
            <w:r>
              <w:rPr>
                <w:rFonts w:hint="eastAsia"/>
                <w:szCs w:val="24"/>
              </w:rPr>
              <w:t>57.44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53" w:type="pct"/>
            <w:noWrap/>
            <w:vAlign w:val="center"/>
          </w:tcPr>
          <w:p>
            <w:pPr>
              <w:widowControl/>
              <w:spacing w:line="240" w:lineRule="exact"/>
              <w:jc w:val="center"/>
              <w:rPr>
                <w:kern w:val="0"/>
                <w:szCs w:val="24"/>
              </w:rPr>
            </w:pPr>
            <w:r>
              <w:rPr>
                <w:rFonts w:hint="eastAsia"/>
                <w:kern w:val="0"/>
                <w:szCs w:val="24"/>
              </w:rPr>
              <w:t>三</w:t>
            </w:r>
          </w:p>
        </w:tc>
        <w:tc>
          <w:tcPr>
            <w:tcW w:w="1954" w:type="pct"/>
            <w:noWrap/>
            <w:vAlign w:val="center"/>
          </w:tcPr>
          <w:p>
            <w:pPr>
              <w:widowControl/>
              <w:spacing w:line="240" w:lineRule="exact"/>
              <w:jc w:val="center"/>
              <w:rPr>
                <w:kern w:val="0"/>
                <w:szCs w:val="24"/>
              </w:rPr>
            </w:pPr>
            <w:r>
              <w:rPr>
                <w:kern w:val="0"/>
                <w:szCs w:val="24"/>
              </w:rPr>
              <w:t>其他费用</w:t>
            </w:r>
          </w:p>
        </w:tc>
        <w:tc>
          <w:tcPr>
            <w:tcW w:w="1064" w:type="pct"/>
            <w:noWrap/>
            <w:vAlign w:val="center"/>
          </w:tcPr>
          <w:p>
            <w:pPr>
              <w:spacing w:line="240" w:lineRule="exact"/>
              <w:jc w:val="center"/>
              <w:rPr>
                <w:szCs w:val="24"/>
              </w:rPr>
            </w:pPr>
            <w:r>
              <w:rPr>
                <w:rFonts w:hint="eastAsia"/>
                <w:szCs w:val="24"/>
              </w:rPr>
              <w:t>36.0</w:t>
            </w:r>
          </w:p>
        </w:tc>
        <w:tc>
          <w:tcPr>
            <w:tcW w:w="1629" w:type="pct"/>
            <w:noWrap/>
            <w:vAlign w:val="center"/>
          </w:tcPr>
          <w:p>
            <w:pPr>
              <w:jc w:val="center"/>
              <w:rPr>
                <w:szCs w:val="24"/>
              </w:rPr>
            </w:pPr>
            <w:r>
              <w:rPr>
                <w:rFonts w:hint="eastAsia"/>
                <w:szCs w:val="24"/>
              </w:rPr>
              <w:t>30.04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53" w:type="pct"/>
            <w:noWrap/>
            <w:vAlign w:val="center"/>
          </w:tcPr>
          <w:p>
            <w:pPr>
              <w:widowControl/>
              <w:spacing w:line="240" w:lineRule="exact"/>
              <w:jc w:val="center"/>
              <w:rPr>
                <w:kern w:val="0"/>
                <w:szCs w:val="24"/>
              </w:rPr>
            </w:pPr>
            <w:r>
              <w:rPr>
                <w:kern w:val="0"/>
                <w:szCs w:val="24"/>
              </w:rPr>
              <w:t>1</w:t>
            </w:r>
          </w:p>
        </w:tc>
        <w:tc>
          <w:tcPr>
            <w:tcW w:w="1954" w:type="pct"/>
            <w:noWrap/>
            <w:vAlign w:val="center"/>
          </w:tcPr>
          <w:p>
            <w:pPr>
              <w:widowControl/>
              <w:spacing w:line="240" w:lineRule="exact"/>
              <w:jc w:val="center"/>
              <w:rPr>
                <w:kern w:val="0"/>
                <w:szCs w:val="24"/>
              </w:rPr>
            </w:pPr>
            <w:r>
              <w:rPr>
                <w:kern w:val="0"/>
                <w:szCs w:val="24"/>
              </w:rPr>
              <w:t>季报制度费用</w:t>
            </w:r>
          </w:p>
        </w:tc>
        <w:tc>
          <w:tcPr>
            <w:tcW w:w="1064" w:type="pct"/>
            <w:noWrap/>
            <w:vAlign w:val="center"/>
          </w:tcPr>
          <w:p>
            <w:pPr>
              <w:spacing w:line="240" w:lineRule="exact"/>
              <w:jc w:val="center"/>
              <w:rPr>
                <w:szCs w:val="24"/>
              </w:rPr>
            </w:pPr>
            <w:r>
              <w:rPr>
                <w:rFonts w:hint="eastAsia"/>
                <w:szCs w:val="24"/>
              </w:rPr>
              <w:t>24</w:t>
            </w:r>
          </w:p>
        </w:tc>
        <w:tc>
          <w:tcPr>
            <w:tcW w:w="1629" w:type="pct"/>
            <w:noWrap/>
            <w:vAlign w:val="center"/>
          </w:tcPr>
          <w:p>
            <w:pPr>
              <w:jc w:val="center"/>
              <w:rPr>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53" w:type="pct"/>
            <w:noWrap/>
            <w:vAlign w:val="center"/>
          </w:tcPr>
          <w:p>
            <w:pPr>
              <w:widowControl/>
              <w:spacing w:line="240" w:lineRule="exact"/>
              <w:jc w:val="center"/>
              <w:rPr>
                <w:kern w:val="0"/>
                <w:szCs w:val="24"/>
              </w:rPr>
            </w:pPr>
            <w:r>
              <w:rPr>
                <w:kern w:val="0"/>
                <w:szCs w:val="24"/>
              </w:rPr>
              <w:t>2</w:t>
            </w:r>
          </w:p>
        </w:tc>
        <w:tc>
          <w:tcPr>
            <w:tcW w:w="1954" w:type="pct"/>
            <w:noWrap/>
            <w:vAlign w:val="center"/>
          </w:tcPr>
          <w:p>
            <w:pPr>
              <w:widowControl/>
              <w:spacing w:line="240" w:lineRule="exact"/>
              <w:jc w:val="center"/>
              <w:rPr>
                <w:kern w:val="0"/>
                <w:szCs w:val="24"/>
              </w:rPr>
            </w:pPr>
            <w:r>
              <w:rPr>
                <w:kern w:val="0"/>
                <w:szCs w:val="24"/>
              </w:rPr>
              <w:t>年审申报制度费用</w:t>
            </w:r>
          </w:p>
        </w:tc>
        <w:tc>
          <w:tcPr>
            <w:tcW w:w="1064" w:type="pct"/>
            <w:noWrap/>
            <w:vAlign w:val="center"/>
          </w:tcPr>
          <w:p>
            <w:pPr>
              <w:spacing w:line="240" w:lineRule="exact"/>
              <w:jc w:val="center"/>
              <w:rPr>
                <w:szCs w:val="24"/>
              </w:rPr>
            </w:pPr>
            <w:r>
              <w:rPr>
                <w:rFonts w:hint="eastAsia"/>
                <w:szCs w:val="24"/>
              </w:rPr>
              <w:t>12</w:t>
            </w:r>
          </w:p>
        </w:tc>
        <w:tc>
          <w:tcPr>
            <w:tcW w:w="1629" w:type="pct"/>
            <w:noWrap/>
            <w:vAlign w:val="center"/>
          </w:tcPr>
          <w:p>
            <w:pPr>
              <w:jc w:val="center"/>
              <w:rPr>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53" w:type="pct"/>
            <w:noWrap/>
            <w:vAlign w:val="center"/>
          </w:tcPr>
          <w:p>
            <w:pPr>
              <w:widowControl/>
              <w:spacing w:line="240" w:lineRule="exact"/>
              <w:jc w:val="center"/>
              <w:rPr>
                <w:kern w:val="0"/>
                <w:szCs w:val="24"/>
              </w:rPr>
            </w:pPr>
            <w:r>
              <w:rPr>
                <w:rFonts w:hint="eastAsia"/>
                <w:kern w:val="0"/>
                <w:szCs w:val="24"/>
              </w:rPr>
              <w:t>四</w:t>
            </w:r>
          </w:p>
        </w:tc>
        <w:tc>
          <w:tcPr>
            <w:tcW w:w="1954" w:type="pct"/>
            <w:noWrap/>
            <w:vAlign w:val="center"/>
          </w:tcPr>
          <w:p>
            <w:pPr>
              <w:widowControl/>
              <w:spacing w:line="240" w:lineRule="exact"/>
              <w:jc w:val="center"/>
              <w:rPr>
                <w:kern w:val="0"/>
                <w:szCs w:val="24"/>
              </w:rPr>
            </w:pPr>
            <w:r>
              <w:rPr>
                <w:kern w:val="0"/>
                <w:szCs w:val="24"/>
              </w:rPr>
              <w:t>监测与管护费</w:t>
            </w:r>
          </w:p>
        </w:tc>
        <w:tc>
          <w:tcPr>
            <w:tcW w:w="1064" w:type="pct"/>
            <w:noWrap/>
            <w:vAlign w:val="center"/>
          </w:tcPr>
          <w:p>
            <w:pPr>
              <w:spacing w:line="240" w:lineRule="exact"/>
              <w:jc w:val="center"/>
              <w:rPr>
                <w:szCs w:val="24"/>
              </w:rPr>
            </w:pPr>
            <w:r>
              <w:rPr>
                <w:rFonts w:hint="eastAsia"/>
                <w:szCs w:val="24"/>
              </w:rPr>
              <w:t>15</w:t>
            </w:r>
          </w:p>
        </w:tc>
        <w:tc>
          <w:tcPr>
            <w:tcW w:w="1629" w:type="pct"/>
            <w:noWrap/>
            <w:vAlign w:val="center"/>
          </w:tcPr>
          <w:p>
            <w:pPr>
              <w:jc w:val="center"/>
              <w:rPr>
                <w:szCs w:val="24"/>
              </w:rPr>
            </w:pPr>
            <w:r>
              <w:rPr>
                <w:rFonts w:hint="eastAsia"/>
                <w:szCs w:val="24"/>
              </w:rPr>
              <w:t>12.52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53" w:type="pct"/>
            <w:noWrap/>
            <w:vAlign w:val="center"/>
          </w:tcPr>
          <w:p>
            <w:pPr>
              <w:widowControl/>
              <w:spacing w:line="240" w:lineRule="exact"/>
              <w:jc w:val="center"/>
              <w:rPr>
                <w:kern w:val="0"/>
                <w:szCs w:val="24"/>
              </w:rPr>
            </w:pPr>
            <w:r>
              <w:rPr>
                <w:kern w:val="0"/>
                <w:szCs w:val="24"/>
              </w:rPr>
              <w:t>1</w:t>
            </w:r>
          </w:p>
        </w:tc>
        <w:tc>
          <w:tcPr>
            <w:tcW w:w="1954" w:type="pct"/>
            <w:noWrap/>
            <w:vAlign w:val="center"/>
          </w:tcPr>
          <w:p>
            <w:pPr>
              <w:widowControl/>
              <w:spacing w:line="240" w:lineRule="exact"/>
              <w:jc w:val="center"/>
              <w:rPr>
                <w:kern w:val="0"/>
                <w:szCs w:val="24"/>
              </w:rPr>
            </w:pPr>
            <w:r>
              <w:rPr>
                <w:kern w:val="0"/>
                <w:szCs w:val="24"/>
              </w:rPr>
              <w:t>环境污染监测费用</w:t>
            </w:r>
          </w:p>
        </w:tc>
        <w:tc>
          <w:tcPr>
            <w:tcW w:w="1064" w:type="pct"/>
            <w:noWrap/>
            <w:vAlign w:val="center"/>
          </w:tcPr>
          <w:p>
            <w:pPr>
              <w:spacing w:line="240" w:lineRule="exact"/>
              <w:jc w:val="center"/>
              <w:rPr>
                <w:szCs w:val="24"/>
              </w:rPr>
            </w:pPr>
            <w:r>
              <w:rPr>
                <w:rFonts w:hint="eastAsia"/>
                <w:szCs w:val="24"/>
              </w:rPr>
              <w:t>9</w:t>
            </w:r>
          </w:p>
        </w:tc>
        <w:tc>
          <w:tcPr>
            <w:tcW w:w="1629" w:type="pct"/>
            <w:noWrap/>
            <w:vAlign w:val="center"/>
          </w:tcPr>
          <w:p>
            <w:pPr>
              <w:jc w:val="center"/>
              <w:rPr>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53" w:type="pct"/>
            <w:noWrap/>
            <w:vAlign w:val="center"/>
          </w:tcPr>
          <w:p>
            <w:pPr>
              <w:widowControl/>
              <w:spacing w:line="240" w:lineRule="exact"/>
              <w:jc w:val="center"/>
              <w:rPr>
                <w:kern w:val="0"/>
                <w:szCs w:val="24"/>
              </w:rPr>
            </w:pPr>
            <w:r>
              <w:rPr>
                <w:kern w:val="0"/>
                <w:szCs w:val="24"/>
              </w:rPr>
              <w:t>2</w:t>
            </w:r>
          </w:p>
        </w:tc>
        <w:tc>
          <w:tcPr>
            <w:tcW w:w="1954" w:type="pct"/>
            <w:noWrap/>
            <w:vAlign w:val="center"/>
          </w:tcPr>
          <w:p>
            <w:pPr>
              <w:widowControl/>
              <w:spacing w:line="240" w:lineRule="exact"/>
              <w:jc w:val="center"/>
              <w:rPr>
                <w:kern w:val="0"/>
                <w:szCs w:val="24"/>
              </w:rPr>
            </w:pPr>
            <w:r>
              <w:rPr>
                <w:kern w:val="0"/>
                <w:szCs w:val="24"/>
              </w:rPr>
              <w:t>生态环境监测费用</w:t>
            </w:r>
          </w:p>
        </w:tc>
        <w:tc>
          <w:tcPr>
            <w:tcW w:w="1064" w:type="pct"/>
            <w:noWrap/>
            <w:vAlign w:val="center"/>
          </w:tcPr>
          <w:p>
            <w:pPr>
              <w:spacing w:line="240" w:lineRule="exact"/>
              <w:jc w:val="center"/>
              <w:rPr>
                <w:szCs w:val="24"/>
              </w:rPr>
            </w:pPr>
            <w:r>
              <w:rPr>
                <w:rFonts w:hint="eastAsia"/>
                <w:szCs w:val="24"/>
              </w:rPr>
              <w:t>6</w:t>
            </w:r>
          </w:p>
        </w:tc>
        <w:tc>
          <w:tcPr>
            <w:tcW w:w="1629" w:type="pct"/>
            <w:noWrap/>
            <w:vAlign w:val="center"/>
          </w:tcPr>
          <w:p>
            <w:pPr>
              <w:jc w:val="center"/>
              <w:rPr>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353" w:type="pct"/>
            <w:noWrap/>
            <w:vAlign w:val="center"/>
          </w:tcPr>
          <w:p>
            <w:pPr>
              <w:spacing w:line="240" w:lineRule="exact"/>
              <w:jc w:val="center"/>
              <w:rPr>
                <w:szCs w:val="24"/>
              </w:rPr>
            </w:pPr>
          </w:p>
        </w:tc>
        <w:tc>
          <w:tcPr>
            <w:tcW w:w="1954" w:type="pct"/>
            <w:noWrap/>
            <w:vAlign w:val="center"/>
          </w:tcPr>
          <w:p>
            <w:pPr>
              <w:spacing w:line="240" w:lineRule="exact"/>
              <w:jc w:val="center"/>
              <w:rPr>
                <w:szCs w:val="24"/>
              </w:rPr>
            </w:pPr>
            <w:r>
              <w:rPr>
                <w:szCs w:val="24"/>
              </w:rPr>
              <w:t>总      计</w:t>
            </w:r>
          </w:p>
        </w:tc>
        <w:tc>
          <w:tcPr>
            <w:tcW w:w="1064" w:type="pct"/>
            <w:noWrap/>
            <w:vAlign w:val="center"/>
          </w:tcPr>
          <w:p>
            <w:pPr>
              <w:spacing w:line="240" w:lineRule="exact"/>
              <w:jc w:val="center"/>
              <w:rPr>
                <w:szCs w:val="24"/>
              </w:rPr>
            </w:pPr>
            <w:r>
              <w:rPr>
                <w:szCs w:val="24"/>
              </w:rPr>
              <w:fldChar w:fldCharType="begin"/>
            </w:r>
            <w:r>
              <w:rPr>
                <w:szCs w:val="24"/>
              </w:rPr>
              <w:instrText xml:space="preserve"> =SUM(ABOVE) </w:instrText>
            </w:r>
            <w:r>
              <w:rPr>
                <w:szCs w:val="24"/>
              </w:rPr>
              <w:fldChar w:fldCharType="separate"/>
            </w:r>
            <w:r>
              <w:rPr>
                <w:szCs w:val="24"/>
              </w:rPr>
              <w:t>194.51</w:t>
            </w:r>
            <w:r>
              <w:rPr>
                <w:szCs w:val="24"/>
              </w:rPr>
              <w:fldChar w:fldCharType="end"/>
            </w:r>
          </w:p>
        </w:tc>
        <w:tc>
          <w:tcPr>
            <w:tcW w:w="1629" w:type="pct"/>
            <w:noWrap/>
            <w:vAlign w:val="center"/>
          </w:tcPr>
          <w:p>
            <w:pPr>
              <w:spacing w:line="240" w:lineRule="exact"/>
              <w:jc w:val="center"/>
              <w:rPr>
                <w:szCs w:val="24"/>
              </w:rPr>
            </w:pPr>
            <w:r>
              <w:rPr>
                <w:szCs w:val="24"/>
              </w:rPr>
              <w:t>100</w:t>
            </w:r>
          </w:p>
        </w:tc>
      </w:tr>
    </w:tbl>
    <w:p>
      <w:pPr>
        <w:pStyle w:val="41"/>
        <w:numPr>
          <w:ilvl w:val="0"/>
          <w:numId w:val="0"/>
        </w:numPr>
        <w:spacing w:line="560" w:lineRule="exact"/>
        <w:rPr>
          <w:rFonts w:ascii="Times New Roman" w:eastAsia="宋体"/>
          <w:b/>
          <w:bCs/>
          <w:sz w:val="24"/>
          <w:szCs w:val="24"/>
        </w:rPr>
      </w:pPr>
    </w:p>
    <w:p>
      <w:pPr>
        <w:pStyle w:val="41"/>
        <w:numPr>
          <w:ilvl w:val="0"/>
          <w:numId w:val="0"/>
        </w:numPr>
        <w:spacing w:line="560" w:lineRule="exact"/>
        <w:rPr>
          <w:rFonts w:ascii="Times New Roman" w:eastAsia="宋体"/>
          <w:b/>
          <w:bCs/>
          <w:sz w:val="24"/>
          <w:szCs w:val="24"/>
        </w:rPr>
      </w:pPr>
    </w:p>
    <w:p>
      <w:pPr>
        <w:pStyle w:val="41"/>
        <w:numPr>
          <w:ilvl w:val="0"/>
          <w:numId w:val="0"/>
        </w:numPr>
        <w:spacing w:line="560" w:lineRule="exact"/>
        <w:rPr>
          <w:rFonts w:ascii="Times New Roman" w:eastAsia="宋体"/>
          <w:b/>
          <w:bCs/>
          <w:sz w:val="24"/>
          <w:szCs w:val="24"/>
        </w:rPr>
      </w:pPr>
    </w:p>
    <w:p>
      <w:pPr>
        <w:pStyle w:val="41"/>
        <w:numPr>
          <w:ilvl w:val="0"/>
          <w:numId w:val="0"/>
        </w:numPr>
        <w:spacing w:line="560" w:lineRule="exact"/>
        <w:rPr>
          <w:rFonts w:ascii="Times New Roman" w:eastAsia="宋体"/>
          <w:bCs/>
          <w:sz w:val="24"/>
          <w:szCs w:val="24"/>
        </w:rPr>
      </w:pPr>
      <w:r>
        <w:rPr>
          <w:rFonts w:ascii="Times New Roman" w:eastAsia="宋体"/>
          <w:b/>
          <w:bCs/>
          <w:sz w:val="24"/>
          <w:szCs w:val="24"/>
        </w:rPr>
        <w:t>矿山地质环境保护与恢复治理工程经费汇总表</w:t>
      </w:r>
      <w:r>
        <w:rPr>
          <w:rFonts w:ascii="Times New Roman" w:eastAsia="宋体"/>
          <w:bCs/>
          <w:sz w:val="24"/>
          <w:szCs w:val="24"/>
        </w:rPr>
        <w:t xml:space="preserve">   表</w:t>
      </w:r>
      <w:r>
        <w:rPr>
          <w:rFonts w:hint="eastAsia" w:ascii="Times New Roman" w:eastAsia="宋体"/>
          <w:bCs/>
          <w:sz w:val="24"/>
          <w:szCs w:val="24"/>
        </w:rPr>
        <w:t>6-13</w:t>
      </w:r>
    </w:p>
    <w:tbl>
      <w:tblPr>
        <w:tblStyle w:val="21"/>
        <w:tblW w:w="4989"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210"/>
        <w:gridCol w:w="24"/>
        <w:gridCol w:w="3503"/>
        <w:gridCol w:w="1190"/>
        <w:gridCol w:w="1010"/>
        <w:gridCol w:w="1010"/>
        <w:gridCol w:w="791"/>
        <w:gridCol w:w="529"/>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 w:hRule="atLeast"/>
          <w:tblHeader/>
          <w:jc w:val="center"/>
        </w:trPr>
        <w:tc>
          <w:tcPr>
            <w:tcW w:w="653" w:type="pct"/>
            <w:shd w:val="clear" w:color="auto" w:fill="auto"/>
            <w:vAlign w:val="center"/>
          </w:tcPr>
          <w:p>
            <w:pPr>
              <w:adjustRightInd w:val="0"/>
              <w:snapToGrid w:val="0"/>
              <w:spacing w:line="240" w:lineRule="exact"/>
              <w:jc w:val="center"/>
              <w:rPr>
                <w:szCs w:val="24"/>
              </w:rPr>
            </w:pPr>
            <w:r>
              <w:rPr>
                <w:szCs w:val="24"/>
              </w:rPr>
              <w:t>编 号</w:t>
            </w:r>
          </w:p>
        </w:tc>
        <w:tc>
          <w:tcPr>
            <w:tcW w:w="1903" w:type="pct"/>
            <w:gridSpan w:val="2"/>
            <w:shd w:val="clear" w:color="auto" w:fill="auto"/>
            <w:vAlign w:val="center"/>
          </w:tcPr>
          <w:p>
            <w:pPr>
              <w:adjustRightInd w:val="0"/>
              <w:snapToGrid w:val="0"/>
              <w:spacing w:line="240" w:lineRule="exact"/>
              <w:jc w:val="center"/>
              <w:rPr>
                <w:szCs w:val="24"/>
              </w:rPr>
            </w:pPr>
            <w:r>
              <w:rPr>
                <w:szCs w:val="24"/>
              </w:rPr>
              <w:t>工  程  名  称</w:t>
            </w:r>
          </w:p>
        </w:tc>
        <w:tc>
          <w:tcPr>
            <w:tcW w:w="642" w:type="pct"/>
            <w:vAlign w:val="center"/>
          </w:tcPr>
          <w:p>
            <w:pPr>
              <w:adjustRightInd w:val="0"/>
              <w:snapToGrid w:val="0"/>
              <w:spacing w:line="240" w:lineRule="exact"/>
              <w:jc w:val="center"/>
              <w:rPr>
                <w:szCs w:val="24"/>
              </w:rPr>
            </w:pPr>
            <w:r>
              <w:rPr>
                <w:szCs w:val="24"/>
              </w:rPr>
              <w:t>工程</w:t>
            </w:r>
          </w:p>
          <w:p>
            <w:pPr>
              <w:adjustRightInd w:val="0"/>
              <w:snapToGrid w:val="0"/>
              <w:spacing w:line="240" w:lineRule="exact"/>
              <w:jc w:val="center"/>
              <w:rPr>
                <w:szCs w:val="24"/>
              </w:rPr>
            </w:pPr>
            <w:r>
              <w:rPr>
                <w:szCs w:val="24"/>
              </w:rPr>
              <w:t>措施费</w:t>
            </w:r>
          </w:p>
        </w:tc>
        <w:tc>
          <w:tcPr>
            <w:tcW w:w="545" w:type="pct"/>
            <w:vAlign w:val="center"/>
          </w:tcPr>
          <w:p>
            <w:pPr>
              <w:adjustRightInd w:val="0"/>
              <w:snapToGrid w:val="0"/>
              <w:spacing w:line="240" w:lineRule="exact"/>
              <w:jc w:val="center"/>
              <w:rPr>
                <w:szCs w:val="24"/>
              </w:rPr>
            </w:pPr>
            <w:r>
              <w:rPr>
                <w:szCs w:val="24"/>
              </w:rPr>
              <w:t>植物</w:t>
            </w:r>
          </w:p>
          <w:p>
            <w:pPr>
              <w:adjustRightInd w:val="0"/>
              <w:snapToGrid w:val="0"/>
              <w:spacing w:line="240" w:lineRule="exact"/>
              <w:jc w:val="center"/>
              <w:rPr>
                <w:szCs w:val="24"/>
              </w:rPr>
            </w:pPr>
            <w:r>
              <w:rPr>
                <w:szCs w:val="24"/>
              </w:rPr>
              <w:t>措施费</w:t>
            </w:r>
          </w:p>
        </w:tc>
        <w:tc>
          <w:tcPr>
            <w:tcW w:w="545" w:type="pct"/>
            <w:vAlign w:val="center"/>
          </w:tcPr>
          <w:p>
            <w:pPr>
              <w:adjustRightInd w:val="0"/>
              <w:snapToGrid w:val="0"/>
              <w:spacing w:line="240" w:lineRule="exact"/>
              <w:jc w:val="center"/>
              <w:rPr>
                <w:szCs w:val="24"/>
              </w:rPr>
            </w:pPr>
            <w:r>
              <w:rPr>
                <w:szCs w:val="24"/>
              </w:rPr>
              <w:t>监测</w:t>
            </w:r>
          </w:p>
          <w:p>
            <w:pPr>
              <w:adjustRightInd w:val="0"/>
              <w:snapToGrid w:val="0"/>
              <w:spacing w:line="240" w:lineRule="exact"/>
              <w:jc w:val="center"/>
              <w:rPr>
                <w:szCs w:val="24"/>
              </w:rPr>
            </w:pPr>
            <w:r>
              <w:rPr>
                <w:szCs w:val="24"/>
              </w:rPr>
              <w:t>措施费</w:t>
            </w:r>
          </w:p>
        </w:tc>
        <w:tc>
          <w:tcPr>
            <w:tcW w:w="427" w:type="pct"/>
            <w:vAlign w:val="center"/>
          </w:tcPr>
          <w:p>
            <w:pPr>
              <w:adjustRightInd w:val="0"/>
              <w:snapToGrid w:val="0"/>
              <w:spacing w:line="240" w:lineRule="exact"/>
              <w:jc w:val="center"/>
              <w:rPr>
                <w:szCs w:val="24"/>
              </w:rPr>
            </w:pPr>
            <w:r>
              <w:rPr>
                <w:szCs w:val="24"/>
              </w:rPr>
              <w:t>独立</w:t>
            </w:r>
          </w:p>
          <w:p>
            <w:pPr>
              <w:adjustRightInd w:val="0"/>
              <w:snapToGrid w:val="0"/>
              <w:spacing w:line="240" w:lineRule="exact"/>
              <w:jc w:val="center"/>
              <w:rPr>
                <w:szCs w:val="24"/>
              </w:rPr>
            </w:pPr>
            <w:r>
              <w:rPr>
                <w:szCs w:val="24"/>
              </w:rPr>
              <w:t>费用</w:t>
            </w:r>
          </w:p>
        </w:tc>
        <w:tc>
          <w:tcPr>
            <w:tcW w:w="285" w:type="pct"/>
            <w:tcBorders>
              <w:right w:val="single" w:color="auto" w:sz="4" w:space="0"/>
            </w:tcBorders>
            <w:vAlign w:val="center"/>
          </w:tcPr>
          <w:p>
            <w:pPr>
              <w:adjustRightInd w:val="0"/>
              <w:snapToGrid w:val="0"/>
              <w:spacing w:line="240" w:lineRule="exact"/>
              <w:jc w:val="center"/>
              <w:rPr>
                <w:szCs w:val="24"/>
              </w:rPr>
            </w:pPr>
            <w:r>
              <w:rPr>
                <w:szCs w:val="24"/>
              </w:rPr>
              <w:t>预备费</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3" w:hRule="atLeast"/>
          <w:jc w:val="center"/>
        </w:trPr>
        <w:tc>
          <w:tcPr>
            <w:tcW w:w="2556" w:type="pct"/>
            <w:gridSpan w:val="3"/>
            <w:shd w:val="clear" w:color="auto" w:fill="auto"/>
            <w:vAlign w:val="center"/>
          </w:tcPr>
          <w:p>
            <w:pPr>
              <w:adjustRightInd w:val="0"/>
              <w:snapToGrid w:val="0"/>
              <w:spacing w:line="240" w:lineRule="exact"/>
              <w:jc w:val="center"/>
              <w:rPr>
                <w:szCs w:val="24"/>
              </w:rPr>
            </w:pPr>
            <w:r>
              <w:rPr>
                <w:szCs w:val="24"/>
              </w:rPr>
              <w:t>一、工程施工</w:t>
            </w:r>
          </w:p>
        </w:tc>
        <w:tc>
          <w:tcPr>
            <w:tcW w:w="642" w:type="pct"/>
            <w:vAlign w:val="center"/>
          </w:tcPr>
          <w:p>
            <w:pPr>
              <w:adjustRightInd w:val="0"/>
              <w:snapToGrid w:val="0"/>
              <w:spacing w:line="240" w:lineRule="exact"/>
              <w:jc w:val="center"/>
              <w:rPr>
                <w:szCs w:val="24"/>
              </w:rPr>
            </w:pPr>
            <w:r>
              <w:rPr>
                <w:rFonts w:hint="eastAsia"/>
                <w:szCs w:val="24"/>
              </w:rPr>
              <w:t>15.04</w:t>
            </w:r>
          </w:p>
        </w:tc>
        <w:tc>
          <w:tcPr>
            <w:tcW w:w="545" w:type="pct"/>
            <w:vAlign w:val="center"/>
          </w:tcPr>
          <w:p>
            <w:pPr>
              <w:adjustRightInd w:val="0"/>
              <w:snapToGrid w:val="0"/>
              <w:spacing w:line="240" w:lineRule="exact"/>
              <w:jc w:val="center"/>
              <w:rPr>
                <w:szCs w:val="24"/>
              </w:rPr>
            </w:pPr>
          </w:p>
        </w:tc>
        <w:tc>
          <w:tcPr>
            <w:tcW w:w="545" w:type="pct"/>
            <w:vAlign w:val="center"/>
          </w:tcPr>
          <w:p>
            <w:pPr>
              <w:adjustRightInd w:val="0"/>
              <w:snapToGrid w:val="0"/>
              <w:spacing w:line="240" w:lineRule="exact"/>
              <w:ind w:left="-312" w:leftChars="-130"/>
              <w:jc w:val="center"/>
              <w:rPr>
                <w:szCs w:val="24"/>
              </w:rPr>
            </w:pPr>
          </w:p>
        </w:tc>
        <w:tc>
          <w:tcPr>
            <w:tcW w:w="427" w:type="pct"/>
            <w:vAlign w:val="center"/>
          </w:tcPr>
          <w:p>
            <w:pPr>
              <w:adjustRightInd w:val="0"/>
              <w:snapToGrid w:val="0"/>
              <w:spacing w:line="240" w:lineRule="exact"/>
              <w:jc w:val="center"/>
              <w:rPr>
                <w:szCs w:val="24"/>
              </w:rPr>
            </w:pPr>
          </w:p>
        </w:tc>
        <w:tc>
          <w:tcPr>
            <w:tcW w:w="285" w:type="pct"/>
            <w:tcBorders>
              <w:right w:val="single" w:color="auto" w:sz="4" w:space="0"/>
            </w:tcBorders>
            <w:vAlign w:val="center"/>
          </w:tcPr>
          <w:p>
            <w:pPr>
              <w:adjustRightInd w:val="0"/>
              <w:snapToGrid w:val="0"/>
              <w:spacing w:line="240" w:lineRule="exact"/>
              <w:jc w:val="center"/>
              <w:rPr>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3" w:hRule="atLeast"/>
          <w:jc w:val="center"/>
        </w:trPr>
        <w:tc>
          <w:tcPr>
            <w:tcW w:w="653" w:type="pct"/>
            <w:shd w:val="clear" w:color="auto" w:fill="auto"/>
            <w:vAlign w:val="center"/>
          </w:tcPr>
          <w:p>
            <w:pPr>
              <w:adjustRightInd w:val="0"/>
              <w:snapToGrid w:val="0"/>
              <w:spacing w:line="240" w:lineRule="exact"/>
              <w:jc w:val="center"/>
              <w:rPr>
                <w:spacing w:val="-20"/>
                <w:szCs w:val="24"/>
              </w:rPr>
            </w:pPr>
            <w:r>
              <w:rPr>
                <w:spacing w:val="-20"/>
                <w:szCs w:val="24"/>
              </w:rPr>
              <w:t>（一）</w:t>
            </w:r>
          </w:p>
        </w:tc>
        <w:tc>
          <w:tcPr>
            <w:tcW w:w="1903" w:type="pct"/>
            <w:gridSpan w:val="2"/>
            <w:shd w:val="clear" w:color="auto" w:fill="auto"/>
            <w:vAlign w:val="center"/>
          </w:tcPr>
          <w:p>
            <w:pPr>
              <w:widowControl/>
              <w:adjustRightInd w:val="0"/>
              <w:snapToGrid w:val="0"/>
              <w:spacing w:line="240" w:lineRule="exact"/>
              <w:ind w:left="-108" w:leftChars="-45" w:right="-98" w:rightChars="-41"/>
              <w:jc w:val="center"/>
              <w:rPr>
                <w:kern w:val="0"/>
                <w:szCs w:val="24"/>
              </w:rPr>
            </w:pPr>
            <w:r>
              <w:rPr>
                <w:kern w:val="0"/>
                <w:szCs w:val="24"/>
              </w:rPr>
              <w:t>地质灾害防治工程</w:t>
            </w:r>
          </w:p>
        </w:tc>
        <w:tc>
          <w:tcPr>
            <w:tcW w:w="642" w:type="pct"/>
            <w:vAlign w:val="center"/>
          </w:tcPr>
          <w:p>
            <w:pPr>
              <w:adjustRightInd w:val="0"/>
              <w:snapToGrid w:val="0"/>
              <w:spacing w:line="240" w:lineRule="exact"/>
              <w:jc w:val="center"/>
              <w:rPr>
                <w:szCs w:val="24"/>
              </w:rPr>
            </w:pPr>
            <w:r>
              <w:rPr>
                <w:rFonts w:hint="eastAsia"/>
                <w:szCs w:val="24"/>
              </w:rPr>
              <w:t>15.04</w:t>
            </w:r>
          </w:p>
        </w:tc>
        <w:tc>
          <w:tcPr>
            <w:tcW w:w="545" w:type="pct"/>
            <w:vAlign w:val="center"/>
          </w:tcPr>
          <w:p>
            <w:pPr>
              <w:adjustRightInd w:val="0"/>
              <w:snapToGrid w:val="0"/>
              <w:spacing w:line="240" w:lineRule="exact"/>
              <w:jc w:val="center"/>
              <w:rPr>
                <w:szCs w:val="24"/>
              </w:rPr>
            </w:pPr>
          </w:p>
        </w:tc>
        <w:tc>
          <w:tcPr>
            <w:tcW w:w="545" w:type="pct"/>
            <w:vAlign w:val="center"/>
          </w:tcPr>
          <w:p>
            <w:pPr>
              <w:adjustRightInd w:val="0"/>
              <w:snapToGrid w:val="0"/>
              <w:spacing w:line="240" w:lineRule="exact"/>
              <w:ind w:left="-312" w:leftChars="-130"/>
              <w:jc w:val="center"/>
              <w:rPr>
                <w:szCs w:val="24"/>
              </w:rPr>
            </w:pPr>
          </w:p>
        </w:tc>
        <w:tc>
          <w:tcPr>
            <w:tcW w:w="427" w:type="pct"/>
            <w:vAlign w:val="center"/>
          </w:tcPr>
          <w:p>
            <w:pPr>
              <w:adjustRightInd w:val="0"/>
              <w:snapToGrid w:val="0"/>
              <w:spacing w:line="240" w:lineRule="exact"/>
              <w:jc w:val="center"/>
              <w:rPr>
                <w:szCs w:val="24"/>
              </w:rPr>
            </w:pPr>
          </w:p>
        </w:tc>
        <w:tc>
          <w:tcPr>
            <w:tcW w:w="285" w:type="pct"/>
            <w:tcBorders>
              <w:right w:val="single" w:color="auto" w:sz="4" w:space="0"/>
            </w:tcBorders>
            <w:vAlign w:val="center"/>
          </w:tcPr>
          <w:p>
            <w:pPr>
              <w:adjustRightInd w:val="0"/>
              <w:snapToGrid w:val="0"/>
              <w:spacing w:line="240" w:lineRule="exact"/>
              <w:jc w:val="center"/>
              <w:rPr>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3" w:hRule="atLeast"/>
          <w:jc w:val="center"/>
        </w:trPr>
        <w:tc>
          <w:tcPr>
            <w:tcW w:w="2556" w:type="pct"/>
            <w:gridSpan w:val="3"/>
            <w:shd w:val="clear" w:color="auto" w:fill="auto"/>
            <w:vAlign w:val="center"/>
          </w:tcPr>
          <w:p>
            <w:pPr>
              <w:adjustRightInd w:val="0"/>
              <w:snapToGrid w:val="0"/>
              <w:spacing w:line="240" w:lineRule="exact"/>
              <w:jc w:val="center"/>
              <w:rPr>
                <w:szCs w:val="24"/>
              </w:rPr>
            </w:pPr>
            <w:r>
              <w:rPr>
                <w:szCs w:val="24"/>
              </w:rPr>
              <w:t>二、地形地貌治理措施</w:t>
            </w:r>
          </w:p>
        </w:tc>
        <w:tc>
          <w:tcPr>
            <w:tcW w:w="642" w:type="pct"/>
            <w:tcBorders>
              <w:top w:val="single" w:color="auto" w:sz="4" w:space="0"/>
            </w:tcBorders>
            <w:vAlign w:val="center"/>
          </w:tcPr>
          <w:p>
            <w:pPr>
              <w:adjustRightInd w:val="0"/>
              <w:snapToGrid w:val="0"/>
              <w:spacing w:line="240" w:lineRule="exact"/>
              <w:jc w:val="center"/>
              <w:rPr>
                <w:szCs w:val="24"/>
              </w:rPr>
            </w:pPr>
          </w:p>
        </w:tc>
        <w:tc>
          <w:tcPr>
            <w:tcW w:w="545" w:type="pct"/>
            <w:vAlign w:val="center"/>
          </w:tcPr>
          <w:p>
            <w:pPr>
              <w:pStyle w:val="54"/>
              <w:spacing w:line="240" w:lineRule="exact"/>
              <w:rPr>
                <w:b w:val="0"/>
              </w:rPr>
            </w:pPr>
          </w:p>
        </w:tc>
        <w:tc>
          <w:tcPr>
            <w:tcW w:w="545" w:type="pct"/>
            <w:vAlign w:val="center"/>
          </w:tcPr>
          <w:p>
            <w:pPr>
              <w:adjustRightInd w:val="0"/>
              <w:snapToGrid w:val="0"/>
              <w:spacing w:line="240" w:lineRule="exact"/>
              <w:jc w:val="center"/>
              <w:rPr>
                <w:szCs w:val="24"/>
              </w:rPr>
            </w:pPr>
          </w:p>
        </w:tc>
        <w:tc>
          <w:tcPr>
            <w:tcW w:w="427" w:type="pct"/>
            <w:vAlign w:val="center"/>
          </w:tcPr>
          <w:p>
            <w:pPr>
              <w:spacing w:line="240" w:lineRule="exact"/>
              <w:jc w:val="center"/>
              <w:rPr>
                <w:szCs w:val="24"/>
              </w:rPr>
            </w:pPr>
          </w:p>
        </w:tc>
        <w:tc>
          <w:tcPr>
            <w:tcW w:w="285" w:type="pct"/>
            <w:tcBorders>
              <w:right w:val="single" w:color="auto" w:sz="4" w:space="0"/>
            </w:tcBorders>
            <w:vAlign w:val="center"/>
          </w:tcPr>
          <w:p>
            <w:pPr>
              <w:adjustRightInd w:val="0"/>
              <w:snapToGrid w:val="0"/>
              <w:spacing w:line="240" w:lineRule="exact"/>
              <w:jc w:val="center"/>
              <w:rPr>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3" w:hRule="atLeast"/>
          <w:jc w:val="center"/>
        </w:trPr>
        <w:tc>
          <w:tcPr>
            <w:tcW w:w="2556" w:type="pct"/>
            <w:gridSpan w:val="3"/>
            <w:vAlign w:val="center"/>
          </w:tcPr>
          <w:p>
            <w:pPr>
              <w:adjustRightInd w:val="0"/>
              <w:snapToGrid w:val="0"/>
              <w:spacing w:line="240" w:lineRule="exact"/>
              <w:jc w:val="center"/>
              <w:rPr>
                <w:szCs w:val="24"/>
              </w:rPr>
            </w:pPr>
            <w:r>
              <w:rPr>
                <w:szCs w:val="24"/>
              </w:rPr>
              <w:t>三、监测措施</w:t>
            </w:r>
          </w:p>
        </w:tc>
        <w:tc>
          <w:tcPr>
            <w:tcW w:w="642" w:type="pct"/>
            <w:vAlign w:val="center"/>
          </w:tcPr>
          <w:p>
            <w:pPr>
              <w:widowControl/>
              <w:adjustRightInd w:val="0"/>
              <w:snapToGrid w:val="0"/>
              <w:spacing w:line="240" w:lineRule="exact"/>
              <w:jc w:val="center"/>
              <w:rPr>
                <w:szCs w:val="24"/>
              </w:rPr>
            </w:pPr>
          </w:p>
        </w:tc>
        <w:tc>
          <w:tcPr>
            <w:tcW w:w="545" w:type="pct"/>
            <w:vAlign w:val="center"/>
          </w:tcPr>
          <w:p>
            <w:pPr>
              <w:widowControl/>
              <w:adjustRightInd w:val="0"/>
              <w:snapToGrid w:val="0"/>
              <w:spacing w:line="240" w:lineRule="exact"/>
              <w:jc w:val="center"/>
              <w:rPr>
                <w:szCs w:val="24"/>
              </w:rPr>
            </w:pPr>
          </w:p>
        </w:tc>
        <w:tc>
          <w:tcPr>
            <w:tcW w:w="545" w:type="pct"/>
            <w:vAlign w:val="center"/>
          </w:tcPr>
          <w:p>
            <w:pPr>
              <w:adjustRightInd w:val="0"/>
              <w:snapToGrid w:val="0"/>
              <w:spacing w:line="240" w:lineRule="exact"/>
              <w:jc w:val="center"/>
              <w:rPr>
                <w:szCs w:val="24"/>
              </w:rPr>
            </w:pPr>
            <w:r>
              <w:rPr>
                <w:rFonts w:hint="eastAsia"/>
                <w:szCs w:val="24"/>
              </w:rPr>
              <w:t>2.80</w:t>
            </w:r>
          </w:p>
        </w:tc>
        <w:tc>
          <w:tcPr>
            <w:tcW w:w="427" w:type="pct"/>
            <w:vAlign w:val="center"/>
          </w:tcPr>
          <w:p>
            <w:pPr>
              <w:spacing w:line="240" w:lineRule="exact"/>
              <w:jc w:val="center"/>
              <w:rPr>
                <w:szCs w:val="24"/>
              </w:rPr>
            </w:pPr>
          </w:p>
        </w:tc>
        <w:tc>
          <w:tcPr>
            <w:tcW w:w="285" w:type="pct"/>
            <w:tcBorders>
              <w:right w:val="single" w:color="auto" w:sz="4" w:space="0"/>
            </w:tcBorders>
            <w:vAlign w:val="center"/>
          </w:tcPr>
          <w:p>
            <w:pPr>
              <w:adjustRightInd w:val="0"/>
              <w:snapToGrid w:val="0"/>
              <w:spacing w:line="240" w:lineRule="exact"/>
              <w:jc w:val="center"/>
              <w:rPr>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3" w:hRule="atLeast"/>
          <w:jc w:val="center"/>
        </w:trPr>
        <w:tc>
          <w:tcPr>
            <w:tcW w:w="653" w:type="pct"/>
            <w:tcBorders>
              <w:bottom w:val="single" w:color="auto" w:sz="4" w:space="0"/>
            </w:tcBorders>
            <w:vAlign w:val="center"/>
          </w:tcPr>
          <w:p>
            <w:pPr>
              <w:widowControl/>
              <w:adjustRightInd w:val="0"/>
              <w:snapToGrid w:val="0"/>
              <w:spacing w:line="240" w:lineRule="exact"/>
              <w:jc w:val="center"/>
              <w:rPr>
                <w:kern w:val="0"/>
                <w:szCs w:val="24"/>
              </w:rPr>
            </w:pPr>
            <w:r>
              <w:rPr>
                <w:kern w:val="0"/>
                <w:szCs w:val="24"/>
              </w:rPr>
              <w:t>1</w:t>
            </w:r>
          </w:p>
        </w:tc>
        <w:tc>
          <w:tcPr>
            <w:tcW w:w="1903" w:type="pct"/>
            <w:gridSpan w:val="2"/>
            <w:shd w:val="clear" w:color="auto" w:fill="auto"/>
            <w:vAlign w:val="center"/>
          </w:tcPr>
          <w:p>
            <w:pPr>
              <w:widowControl/>
              <w:adjustRightInd w:val="0"/>
              <w:snapToGrid w:val="0"/>
              <w:spacing w:line="240" w:lineRule="exact"/>
              <w:jc w:val="center"/>
              <w:rPr>
                <w:szCs w:val="24"/>
              </w:rPr>
            </w:pPr>
            <w:r>
              <w:rPr>
                <w:szCs w:val="24"/>
              </w:rPr>
              <w:t>泥石流监测</w:t>
            </w:r>
          </w:p>
        </w:tc>
        <w:tc>
          <w:tcPr>
            <w:tcW w:w="642" w:type="pct"/>
            <w:vAlign w:val="center"/>
          </w:tcPr>
          <w:p>
            <w:pPr>
              <w:adjustRightInd w:val="0"/>
              <w:snapToGrid w:val="0"/>
              <w:spacing w:line="240" w:lineRule="exact"/>
              <w:jc w:val="center"/>
              <w:rPr>
                <w:szCs w:val="24"/>
              </w:rPr>
            </w:pPr>
          </w:p>
        </w:tc>
        <w:tc>
          <w:tcPr>
            <w:tcW w:w="545" w:type="pct"/>
            <w:vAlign w:val="center"/>
          </w:tcPr>
          <w:p>
            <w:pPr>
              <w:spacing w:line="240" w:lineRule="exact"/>
              <w:jc w:val="center"/>
              <w:rPr>
                <w:szCs w:val="24"/>
              </w:rPr>
            </w:pPr>
          </w:p>
        </w:tc>
        <w:tc>
          <w:tcPr>
            <w:tcW w:w="545" w:type="pct"/>
            <w:vAlign w:val="center"/>
          </w:tcPr>
          <w:p>
            <w:pPr>
              <w:adjustRightInd w:val="0"/>
              <w:snapToGrid w:val="0"/>
              <w:jc w:val="center"/>
              <w:rPr>
                <w:szCs w:val="24"/>
              </w:rPr>
            </w:pPr>
            <w:r>
              <w:rPr>
                <w:rFonts w:hint="eastAsia"/>
                <w:szCs w:val="24"/>
              </w:rPr>
              <w:t>0.18</w:t>
            </w:r>
          </w:p>
        </w:tc>
        <w:tc>
          <w:tcPr>
            <w:tcW w:w="427" w:type="pct"/>
            <w:vAlign w:val="center"/>
          </w:tcPr>
          <w:p>
            <w:pPr>
              <w:spacing w:line="240" w:lineRule="exact"/>
              <w:jc w:val="center"/>
              <w:rPr>
                <w:szCs w:val="24"/>
              </w:rPr>
            </w:pPr>
          </w:p>
        </w:tc>
        <w:tc>
          <w:tcPr>
            <w:tcW w:w="285" w:type="pct"/>
            <w:tcBorders>
              <w:right w:val="single" w:color="auto" w:sz="4" w:space="0"/>
            </w:tcBorders>
            <w:vAlign w:val="center"/>
          </w:tcPr>
          <w:p>
            <w:pPr>
              <w:widowControl/>
              <w:adjustRightInd w:val="0"/>
              <w:snapToGrid w:val="0"/>
              <w:spacing w:line="240" w:lineRule="exact"/>
              <w:jc w:val="center"/>
              <w:rPr>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3" w:hRule="atLeast"/>
          <w:jc w:val="center"/>
        </w:trPr>
        <w:tc>
          <w:tcPr>
            <w:tcW w:w="653" w:type="pct"/>
            <w:tcBorders>
              <w:top w:val="single" w:color="auto" w:sz="4" w:space="0"/>
              <w:bottom w:val="single" w:color="auto" w:sz="4" w:space="0"/>
            </w:tcBorders>
            <w:vAlign w:val="center"/>
          </w:tcPr>
          <w:p>
            <w:pPr>
              <w:widowControl/>
              <w:adjustRightInd w:val="0"/>
              <w:snapToGrid w:val="0"/>
              <w:spacing w:line="240" w:lineRule="exact"/>
              <w:jc w:val="center"/>
              <w:rPr>
                <w:kern w:val="0"/>
                <w:szCs w:val="24"/>
              </w:rPr>
            </w:pPr>
            <w:r>
              <w:rPr>
                <w:kern w:val="0"/>
                <w:szCs w:val="24"/>
              </w:rPr>
              <w:t>2</w:t>
            </w:r>
          </w:p>
        </w:tc>
        <w:tc>
          <w:tcPr>
            <w:tcW w:w="1903" w:type="pct"/>
            <w:gridSpan w:val="2"/>
            <w:shd w:val="clear" w:color="auto" w:fill="auto"/>
            <w:vAlign w:val="center"/>
          </w:tcPr>
          <w:p>
            <w:pPr>
              <w:adjustRightInd w:val="0"/>
              <w:snapToGrid w:val="0"/>
              <w:spacing w:line="240" w:lineRule="exact"/>
              <w:jc w:val="center"/>
              <w:rPr>
                <w:szCs w:val="24"/>
              </w:rPr>
            </w:pPr>
            <w:r>
              <w:rPr>
                <w:szCs w:val="24"/>
              </w:rPr>
              <w:t>不稳定边坡监测</w:t>
            </w:r>
          </w:p>
        </w:tc>
        <w:tc>
          <w:tcPr>
            <w:tcW w:w="642" w:type="pct"/>
            <w:vAlign w:val="center"/>
          </w:tcPr>
          <w:p>
            <w:pPr>
              <w:adjustRightInd w:val="0"/>
              <w:snapToGrid w:val="0"/>
              <w:spacing w:line="240" w:lineRule="exact"/>
              <w:jc w:val="center"/>
              <w:rPr>
                <w:szCs w:val="24"/>
              </w:rPr>
            </w:pPr>
          </w:p>
        </w:tc>
        <w:tc>
          <w:tcPr>
            <w:tcW w:w="545" w:type="pct"/>
            <w:vAlign w:val="center"/>
          </w:tcPr>
          <w:p>
            <w:pPr>
              <w:spacing w:line="240" w:lineRule="exact"/>
              <w:jc w:val="center"/>
              <w:rPr>
                <w:szCs w:val="24"/>
              </w:rPr>
            </w:pPr>
          </w:p>
        </w:tc>
        <w:tc>
          <w:tcPr>
            <w:tcW w:w="545" w:type="pct"/>
            <w:vAlign w:val="center"/>
          </w:tcPr>
          <w:p>
            <w:pPr>
              <w:adjustRightInd w:val="0"/>
              <w:snapToGrid w:val="0"/>
              <w:jc w:val="center"/>
              <w:rPr>
                <w:szCs w:val="24"/>
              </w:rPr>
            </w:pPr>
            <w:r>
              <w:rPr>
                <w:rFonts w:hint="eastAsia"/>
                <w:szCs w:val="24"/>
              </w:rPr>
              <w:t>2.34</w:t>
            </w:r>
          </w:p>
        </w:tc>
        <w:tc>
          <w:tcPr>
            <w:tcW w:w="427" w:type="pct"/>
            <w:vAlign w:val="center"/>
          </w:tcPr>
          <w:p>
            <w:pPr>
              <w:spacing w:line="240" w:lineRule="exact"/>
              <w:jc w:val="center"/>
              <w:rPr>
                <w:szCs w:val="24"/>
              </w:rPr>
            </w:pPr>
          </w:p>
        </w:tc>
        <w:tc>
          <w:tcPr>
            <w:tcW w:w="285" w:type="pct"/>
            <w:tcBorders>
              <w:right w:val="single" w:color="auto" w:sz="4" w:space="0"/>
            </w:tcBorders>
            <w:vAlign w:val="center"/>
          </w:tcPr>
          <w:p>
            <w:pPr>
              <w:widowControl/>
              <w:adjustRightInd w:val="0"/>
              <w:snapToGrid w:val="0"/>
              <w:spacing w:line="240" w:lineRule="exact"/>
              <w:jc w:val="center"/>
              <w:rPr>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3" w:hRule="atLeast"/>
          <w:jc w:val="center"/>
        </w:trPr>
        <w:tc>
          <w:tcPr>
            <w:tcW w:w="653" w:type="pct"/>
            <w:tcBorders>
              <w:top w:val="single" w:color="auto" w:sz="4" w:space="0"/>
              <w:bottom w:val="single" w:color="auto" w:sz="4" w:space="0"/>
            </w:tcBorders>
            <w:vAlign w:val="center"/>
          </w:tcPr>
          <w:p>
            <w:pPr>
              <w:widowControl/>
              <w:adjustRightInd w:val="0"/>
              <w:snapToGrid w:val="0"/>
              <w:spacing w:line="240" w:lineRule="exact"/>
              <w:jc w:val="center"/>
              <w:rPr>
                <w:kern w:val="0"/>
                <w:szCs w:val="24"/>
              </w:rPr>
            </w:pPr>
            <w:r>
              <w:rPr>
                <w:kern w:val="0"/>
                <w:szCs w:val="24"/>
              </w:rPr>
              <w:t>3</w:t>
            </w:r>
          </w:p>
        </w:tc>
        <w:tc>
          <w:tcPr>
            <w:tcW w:w="1903" w:type="pct"/>
            <w:gridSpan w:val="2"/>
            <w:shd w:val="clear" w:color="auto" w:fill="auto"/>
            <w:vAlign w:val="center"/>
          </w:tcPr>
          <w:p>
            <w:pPr>
              <w:adjustRightInd w:val="0"/>
              <w:snapToGrid w:val="0"/>
              <w:spacing w:line="240" w:lineRule="exact"/>
              <w:jc w:val="center"/>
              <w:rPr>
                <w:szCs w:val="24"/>
              </w:rPr>
            </w:pPr>
            <w:r>
              <w:rPr>
                <w:szCs w:val="24"/>
              </w:rPr>
              <w:t>警示牌</w:t>
            </w:r>
          </w:p>
        </w:tc>
        <w:tc>
          <w:tcPr>
            <w:tcW w:w="642" w:type="pct"/>
            <w:vAlign w:val="center"/>
          </w:tcPr>
          <w:p>
            <w:pPr>
              <w:adjustRightInd w:val="0"/>
              <w:snapToGrid w:val="0"/>
              <w:spacing w:line="240" w:lineRule="exact"/>
              <w:jc w:val="center"/>
              <w:rPr>
                <w:szCs w:val="24"/>
              </w:rPr>
            </w:pPr>
          </w:p>
        </w:tc>
        <w:tc>
          <w:tcPr>
            <w:tcW w:w="545" w:type="pct"/>
            <w:vAlign w:val="center"/>
          </w:tcPr>
          <w:p>
            <w:pPr>
              <w:adjustRightInd w:val="0"/>
              <w:snapToGrid w:val="0"/>
              <w:spacing w:line="240" w:lineRule="exact"/>
              <w:jc w:val="center"/>
              <w:rPr>
                <w:szCs w:val="24"/>
              </w:rPr>
            </w:pPr>
          </w:p>
        </w:tc>
        <w:tc>
          <w:tcPr>
            <w:tcW w:w="545" w:type="pct"/>
            <w:vAlign w:val="center"/>
          </w:tcPr>
          <w:p>
            <w:pPr>
              <w:adjustRightInd w:val="0"/>
              <w:snapToGrid w:val="0"/>
              <w:jc w:val="center"/>
              <w:rPr>
                <w:szCs w:val="24"/>
              </w:rPr>
            </w:pPr>
            <w:r>
              <w:rPr>
                <w:rFonts w:hint="eastAsia"/>
                <w:szCs w:val="24"/>
              </w:rPr>
              <w:t>0.28</w:t>
            </w:r>
          </w:p>
        </w:tc>
        <w:tc>
          <w:tcPr>
            <w:tcW w:w="427" w:type="pct"/>
            <w:vAlign w:val="center"/>
          </w:tcPr>
          <w:p>
            <w:pPr>
              <w:spacing w:line="240" w:lineRule="exact"/>
              <w:jc w:val="center"/>
              <w:rPr>
                <w:szCs w:val="24"/>
              </w:rPr>
            </w:pPr>
          </w:p>
        </w:tc>
        <w:tc>
          <w:tcPr>
            <w:tcW w:w="285" w:type="pct"/>
            <w:tcBorders>
              <w:right w:val="single" w:color="auto" w:sz="4" w:space="0"/>
            </w:tcBorders>
            <w:vAlign w:val="center"/>
          </w:tcPr>
          <w:p>
            <w:pPr>
              <w:widowControl/>
              <w:adjustRightInd w:val="0"/>
              <w:snapToGrid w:val="0"/>
              <w:spacing w:line="240" w:lineRule="exact"/>
              <w:jc w:val="center"/>
              <w:rPr>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3" w:hRule="atLeast"/>
          <w:jc w:val="center"/>
        </w:trPr>
        <w:tc>
          <w:tcPr>
            <w:tcW w:w="2556" w:type="pct"/>
            <w:gridSpan w:val="3"/>
            <w:tcBorders>
              <w:top w:val="single" w:color="auto" w:sz="4" w:space="0"/>
            </w:tcBorders>
            <w:shd w:val="clear" w:color="auto" w:fill="auto"/>
            <w:vAlign w:val="center"/>
          </w:tcPr>
          <w:p>
            <w:pPr>
              <w:adjustRightInd w:val="0"/>
              <w:snapToGrid w:val="0"/>
              <w:spacing w:line="240" w:lineRule="exact"/>
              <w:jc w:val="center"/>
              <w:rPr>
                <w:szCs w:val="24"/>
              </w:rPr>
            </w:pPr>
            <w:r>
              <w:rPr>
                <w:szCs w:val="24"/>
              </w:rPr>
              <w:t>四、独立费用</w:t>
            </w:r>
          </w:p>
        </w:tc>
        <w:tc>
          <w:tcPr>
            <w:tcW w:w="642" w:type="pct"/>
            <w:vAlign w:val="center"/>
          </w:tcPr>
          <w:p>
            <w:pPr>
              <w:adjustRightInd w:val="0"/>
              <w:snapToGrid w:val="0"/>
              <w:spacing w:line="240" w:lineRule="exact"/>
              <w:jc w:val="center"/>
              <w:rPr>
                <w:szCs w:val="24"/>
              </w:rPr>
            </w:pPr>
          </w:p>
        </w:tc>
        <w:tc>
          <w:tcPr>
            <w:tcW w:w="545" w:type="pct"/>
            <w:vAlign w:val="center"/>
          </w:tcPr>
          <w:p>
            <w:pPr>
              <w:adjustRightInd w:val="0"/>
              <w:snapToGrid w:val="0"/>
              <w:spacing w:line="240" w:lineRule="exact"/>
              <w:jc w:val="center"/>
              <w:rPr>
                <w:szCs w:val="24"/>
              </w:rPr>
            </w:pPr>
          </w:p>
        </w:tc>
        <w:tc>
          <w:tcPr>
            <w:tcW w:w="545" w:type="pct"/>
            <w:vAlign w:val="center"/>
          </w:tcPr>
          <w:p>
            <w:pPr>
              <w:adjustRightInd w:val="0"/>
              <w:snapToGrid w:val="0"/>
              <w:spacing w:line="240" w:lineRule="exact"/>
              <w:jc w:val="center"/>
              <w:rPr>
                <w:szCs w:val="24"/>
              </w:rPr>
            </w:pPr>
          </w:p>
        </w:tc>
        <w:tc>
          <w:tcPr>
            <w:tcW w:w="427" w:type="pct"/>
            <w:vAlign w:val="center"/>
          </w:tcPr>
          <w:p>
            <w:pPr>
              <w:adjustRightInd w:val="0"/>
              <w:snapToGrid w:val="0"/>
              <w:spacing w:line="240" w:lineRule="exact"/>
              <w:jc w:val="center"/>
              <w:rPr>
                <w:szCs w:val="24"/>
              </w:rPr>
            </w:pPr>
            <w:r>
              <w:rPr>
                <w:szCs w:val="24"/>
              </w:rPr>
              <w:t>1.50</w:t>
            </w:r>
          </w:p>
        </w:tc>
        <w:tc>
          <w:tcPr>
            <w:tcW w:w="285" w:type="pct"/>
            <w:tcBorders>
              <w:right w:val="single" w:color="auto" w:sz="4" w:space="0"/>
            </w:tcBorders>
            <w:vAlign w:val="center"/>
          </w:tcPr>
          <w:p>
            <w:pPr>
              <w:adjustRightInd w:val="0"/>
              <w:snapToGrid w:val="0"/>
              <w:spacing w:line="240" w:lineRule="exact"/>
              <w:jc w:val="center"/>
              <w:rPr>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3" w:hRule="atLeast"/>
          <w:jc w:val="center"/>
        </w:trPr>
        <w:tc>
          <w:tcPr>
            <w:tcW w:w="653" w:type="pct"/>
            <w:tcBorders>
              <w:top w:val="single" w:color="auto" w:sz="4" w:space="0"/>
            </w:tcBorders>
            <w:shd w:val="clear" w:color="auto" w:fill="auto"/>
            <w:vAlign w:val="center"/>
          </w:tcPr>
          <w:p>
            <w:pPr>
              <w:adjustRightInd w:val="0"/>
              <w:snapToGrid w:val="0"/>
              <w:spacing w:line="240" w:lineRule="exact"/>
              <w:jc w:val="center"/>
              <w:rPr>
                <w:szCs w:val="24"/>
              </w:rPr>
            </w:pPr>
            <w:r>
              <w:rPr>
                <w:szCs w:val="24"/>
              </w:rPr>
              <w:t>1</w:t>
            </w:r>
          </w:p>
        </w:tc>
        <w:tc>
          <w:tcPr>
            <w:tcW w:w="1903" w:type="pct"/>
            <w:gridSpan w:val="2"/>
            <w:shd w:val="clear" w:color="auto" w:fill="auto"/>
            <w:vAlign w:val="center"/>
          </w:tcPr>
          <w:p>
            <w:pPr>
              <w:widowControl/>
              <w:adjustRightInd w:val="0"/>
              <w:snapToGrid w:val="0"/>
              <w:spacing w:line="240" w:lineRule="exact"/>
              <w:jc w:val="center"/>
              <w:rPr>
                <w:szCs w:val="24"/>
              </w:rPr>
            </w:pPr>
            <w:r>
              <w:rPr>
                <w:szCs w:val="24"/>
              </w:rPr>
              <w:t xml:space="preserve">工程监理费 </w:t>
            </w:r>
          </w:p>
        </w:tc>
        <w:tc>
          <w:tcPr>
            <w:tcW w:w="642" w:type="pct"/>
            <w:vAlign w:val="center"/>
          </w:tcPr>
          <w:p>
            <w:pPr>
              <w:adjustRightInd w:val="0"/>
              <w:snapToGrid w:val="0"/>
              <w:spacing w:line="240" w:lineRule="exact"/>
              <w:jc w:val="center"/>
              <w:rPr>
                <w:szCs w:val="24"/>
              </w:rPr>
            </w:pPr>
          </w:p>
        </w:tc>
        <w:tc>
          <w:tcPr>
            <w:tcW w:w="545" w:type="pct"/>
            <w:vAlign w:val="center"/>
          </w:tcPr>
          <w:p>
            <w:pPr>
              <w:adjustRightInd w:val="0"/>
              <w:snapToGrid w:val="0"/>
              <w:spacing w:line="240" w:lineRule="exact"/>
              <w:jc w:val="center"/>
              <w:rPr>
                <w:szCs w:val="24"/>
              </w:rPr>
            </w:pPr>
          </w:p>
        </w:tc>
        <w:tc>
          <w:tcPr>
            <w:tcW w:w="545" w:type="pct"/>
            <w:vAlign w:val="center"/>
          </w:tcPr>
          <w:p>
            <w:pPr>
              <w:adjustRightInd w:val="0"/>
              <w:snapToGrid w:val="0"/>
              <w:spacing w:line="240" w:lineRule="exact"/>
              <w:jc w:val="center"/>
              <w:rPr>
                <w:szCs w:val="24"/>
              </w:rPr>
            </w:pPr>
          </w:p>
        </w:tc>
        <w:tc>
          <w:tcPr>
            <w:tcW w:w="427" w:type="pct"/>
            <w:vAlign w:val="center"/>
          </w:tcPr>
          <w:p>
            <w:pPr>
              <w:adjustRightInd w:val="0"/>
              <w:snapToGrid w:val="0"/>
              <w:spacing w:line="240" w:lineRule="exact"/>
              <w:jc w:val="center"/>
              <w:rPr>
                <w:szCs w:val="24"/>
              </w:rPr>
            </w:pPr>
            <w:r>
              <w:rPr>
                <w:szCs w:val="24"/>
              </w:rPr>
              <w:t>0.50</w:t>
            </w:r>
          </w:p>
        </w:tc>
        <w:tc>
          <w:tcPr>
            <w:tcW w:w="285" w:type="pct"/>
            <w:tcBorders>
              <w:right w:val="single" w:color="auto" w:sz="4" w:space="0"/>
            </w:tcBorders>
            <w:vAlign w:val="center"/>
          </w:tcPr>
          <w:p>
            <w:pPr>
              <w:adjustRightInd w:val="0"/>
              <w:snapToGrid w:val="0"/>
              <w:spacing w:line="240" w:lineRule="exact"/>
              <w:jc w:val="center"/>
              <w:rPr>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653" w:type="pct"/>
            <w:tcBorders>
              <w:top w:val="single" w:color="auto" w:sz="4" w:space="0"/>
            </w:tcBorders>
            <w:shd w:val="clear" w:color="auto" w:fill="auto"/>
            <w:vAlign w:val="center"/>
          </w:tcPr>
          <w:p>
            <w:pPr>
              <w:adjustRightInd w:val="0"/>
              <w:snapToGrid w:val="0"/>
              <w:spacing w:line="240" w:lineRule="exact"/>
              <w:jc w:val="center"/>
              <w:rPr>
                <w:szCs w:val="24"/>
              </w:rPr>
            </w:pPr>
            <w:r>
              <w:rPr>
                <w:szCs w:val="24"/>
              </w:rPr>
              <w:t>2</w:t>
            </w:r>
          </w:p>
        </w:tc>
        <w:tc>
          <w:tcPr>
            <w:tcW w:w="1903" w:type="pct"/>
            <w:gridSpan w:val="2"/>
            <w:shd w:val="clear" w:color="auto" w:fill="auto"/>
            <w:vAlign w:val="center"/>
          </w:tcPr>
          <w:p>
            <w:pPr>
              <w:widowControl/>
              <w:adjustRightInd w:val="0"/>
              <w:snapToGrid w:val="0"/>
              <w:spacing w:line="240" w:lineRule="exact"/>
              <w:jc w:val="center"/>
              <w:rPr>
                <w:szCs w:val="24"/>
              </w:rPr>
            </w:pPr>
            <w:r>
              <w:rPr>
                <w:szCs w:val="24"/>
              </w:rPr>
              <w:t>竣工验收费</w:t>
            </w:r>
          </w:p>
        </w:tc>
        <w:tc>
          <w:tcPr>
            <w:tcW w:w="642" w:type="pct"/>
            <w:vAlign w:val="center"/>
          </w:tcPr>
          <w:p>
            <w:pPr>
              <w:adjustRightInd w:val="0"/>
              <w:snapToGrid w:val="0"/>
              <w:spacing w:line="240" w:lineRule="exact"/>
              <w:jc w:val="center"/>
              <w:rPr>
                <w:szCs w:val="24"/>
              </w:rPr>
            </w:pPr>
          </w:p>
        </w:tc>
        <w:tc>
          <w:tcPr>
            <w:tcW w:w="545" w:type="pct"/>
            <w:vAlign w:val="center"/>
          </w:tcPr>
          <w:p>
            <w:pPr>
              <w:adjustRightInd w:val="0"/>
              <w:snapToGrid w:val="0"/>
              <w:spacing w:line="240" w:lineRule="exact"/>
              <w:jc w:val="center"/>
              <w:rPr>
                <w:szCs w:val="24"/>
              </w:rPr>
            </w:pPr>
          </w:p>
        </w:tc>
        <w:tc>
          <w:tcPr>
            <w:tcW w:w="545" w:type="pct"/>
            <w:vAlign w:val="center"/>
          </w:tcPr>
          <w:p>
            <w:pPr>
              <w:adjustRightInd w:val="0"/>
              <w:snapToGrid w:val="0"/>
              <w:spacing w:line="240" w:lineRule="exact"/>
              <w:jc w:val="center"/>
              <w:rPr>
                <w:szCs w:val="24"/>
              </w:rPr>
            </w:pPr>
          </w:p>
        </w:tc>
        <w:tc>
          <w:tcPr>
            <w:tcW w:w="427" w:type="pct"/>
            <w:vAlign w:val="center"/>
          </w:tcPr>
          <w:p>
            <w:pPr>
              <w:adjustRightInd w:val="0"/>
              <w:snapToGrid w:val="0"/>
              <w:spacing w:line="240" w:lineRule="exact"/>
              <w:jc w:val="center"/>
              <w:rPr>
                <w:szCs w:val="24"/>
              </w:rPr>
            </w:pPr>
            <w:r>
              <w:rPr>
                <w:szCs w:val="24"/>
              </w:rPr>
              <w:t>0.50</w:t>
            </w:r>
          </w:p>
        </w:tc>
        <w:tc>
          <w:tcPr>
            <w:tcW w:w="285" w:type="pct"/>
            <w:tcBorders>
              <w:right w:val="single" w:color="auto" w:sz="4" w:space="0"/>
            </w:tcBorders>
            <w:vAlign w:val="center"/>
          </w:tcPr>
          <w:p>
            <w:pPr>
              <w:adjustRightInd w:val="0"/>
              <w:snapToGrid w:val="0"/>
              <w:spacing w:line="240" w:lineRule="exact"/>
              <w:jc w:val="center"/>
              <w:rPr>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3" w:hRule="atLeast"/>
          <w:jc w:val="center"/>
        </w:trPr>
        <w:tc>
          <w:tcPr>
            <w:tcW w:w="653" w:type="pct"/>
            <w:tcBorders>
              <w:top w:val="single" w:color="auto" w:sz="4" w:space="0"/>
            </w:tcBorders>
            <w:shd w:val="clear" w:color="auto" w:fill="auto"/>
            <w:vAlign w:val="center"/>
          </w:tcPr>
          <w:p>
            <w:pPr>
              <w:adjustRightInd w:val="0"/>
              <w:snapToGrid w:val="0"/>
              <w:spacing w:line="240" w:lineRule="exact"/>
              <w:jc w:val="center"/>
              <w:rPr>
                <w:szCs w:val="24"/>
              </w:rPr>
            </w:pPr>
            <w:r>
              <w:rPr>
                <w:szCs w:val="24"/>
              </w:rPr>
              <w:t>3</w:t>
            </w:r>
          </w:p>
        </w:tc>
        <w:tc>
          <w:tcPr>
            <w:tcW w:w="1903" w:type="pct"/>
            <w:gridSpan w:val="2"/>
            <w:shd w:val="clear" w:color="auto" w:fill="auto"/>
            <w:vAlign w:val="center"/>
          </w:tcPr>
          <w:p>
            <w:pPr>
              <w:widowControl/>
              <w:adjustRightInd w:val="0"/>
              <w:snapToGrid w:val="0"/>
              <w:spacing w:line="240" w:lineRule="exact"/>
              <w:jc w:val="center"/>
              <w:rPr>
                <w:szCs w:val="24"/>
              </w:rPr>
            </w:pPr>
            <w:r>
              <w:rPr>
                <w:szCs w:val="24"/>
              </w:rPr>
              <w:t>业主管理费</w:t>
            </w:r>
          </w:p>
        </w:tc>
        <w:tc>
          <w:tcPr>
            <w:tcW w:w="642" w:type="pct"/>
            <w:vAlign w:val="center"/>
          </w:tcPr>
          <w:p>
            <w:pPr>
              <w:adjustRightInd w:val="0"/>
              <w:snapToGrid w:val="0"/>
              <w:spacing w:line="240" w:lineRule="exact"/>
              <w:jc w:val="center"/>
              <w:rPr>
                <w:szCs w:val="24"/>
              </w:rPr>
            </w:pPr>
          </w:p>
        </w:tc>
        <w:tc>
          <w:tcPr>
            <w:tcW w:w="545" w:type="pct"/>
            <w:vAlign w:val="center"/>
          </w:tcPr>
          <w:p>
            <w:pPr>
              <w:adjustRightInd w:val="0"/>
              <w:snapToGrid w:val="0"/>
              <w:spacing w:line="240" w:lineRule="exact"/>
              <w:jc w:val="center"/>
              <w:rPr>
                <w:szCs w:val="24"/>
              </w:rPr>
            </w:pPr>
          </w:p>
        </w:tc>
        <w:tc>
          <w:tcPr>
            <w:tcW w:w="545" w:type="pct"/>
            <w:vAlign w:val="center"/>
          </w:tcPr>
          <w:p>
            <w:pPr>
              <w:adjustRightInd w:val="0"/>
              <w:snapToGrid w:val="0"/>
              <w:spacing w:line="240" w:lineRule="exact"/>
              <w:jc w:val="center"/>
              <w:rPr>
                <w:szCs w:val="24"/>
              </w:rPr>
            </w:pPr>
          </w:p>
        </w:tc>
        <w:tc>
          <w:tcPr>
            <w:tcW w:w="427" w:type="pct"/>
            <w:vAlign w:val="center"/>
          </w:tcPr>
          <w:p>
            <w:pPr>
              <w:adjustRightInd w:val="0"/>
              <w:snapToGrid w:val="0"/>
              <w:spacing w:line="240" w:lineRule="exact"/>
              <w:jc w:val="center"/>
              <w:rPr>
                <w:szCs w:val="24"/>
              </w:rPr>
            </w:pPr>
            <w:r>
              <w:rPr>
                <w:szCs w:val="24"/>
              </w:rPr>
              <w:t>0.50</w:t>
            </w:r>
          </w:p>
        </w:tc>
        <w:tc>
          <w:tcPr>
            <w:tcW w:w="285" w:type="pct"/>
            <w:tcBorders>
              <w:right w:val="single" w:color="auto" w:sz="4" w:space="0"/>
            </w:tcBorders>
            <w:vAlign w:val="center"/>
          </w:tcPr>
          <w:p>
            <w:pPr>
              <w:adjustRightInd w:val="0"/>
              <w:snapToGrid w:val="0"/>
              <w:spacing w:line="240" w:lineRule="exact"/>
              <w:jc w:val="center"/>
              <w:rPr>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3" w:hRule="atLeast"/>
          <w:jc w:val="center"/>
        </w:trPr>
        <w:tc>
          <w:tcPr>
            <w:tcW w:w="2556" w:type="pct"/>
            <w:gridSpan w:val="3"/>
            <w:tcBorders>
              <w:top w:val="single" w:color="auto" w:sz="4" w:space="0"/>
            </w:tcBorders>
            <w:shd w:val="clear" w:color="auto" w:fill="auto"/>
            <w:vAlign w:val="center"/>
          </w:tcPr>
          <w:p>
            <w:pPr>
              <w:adjustRightInd w:val="0"/>
              <w:snapToGrid w:val="0"/>
              <w:spacing w:line="240" w:lineRule="exact"/>
              <w:jc w:val="center"/>
              <w:rPr>
                <w:bCs/>
                <w:szCs w:val="24"/>
              </w:rPr>
            </w:pPr>
            <w:r>
              <w:rPr>
                <w:szCs w:val="24"/>
              </w:rPr>
              <w:t>五、</w:t>
            </w:r>
            <w:r>
              <w:rPr>
                <w:szCs w:val="24"/>
                <w:lang w:bidi="en-US"/>
              </w:rPr>
              <w:t>前期费用</w:t>
            </w:r>
          </w:p>
        </w:tc>
        <w:tc>
          <w:tcPr>
            <w:tcW w:w="642" w:type="pct"/>
            <w:vAlign w:val="center"/>
          </w:tcPr>
          <w:p>
            <w:pPr>
              <w:adjustRightInd w:val="0"/>
              <w:snapToGrid w:val="0"/>
              <w:spacing w:line="240" w:lineRule="exact"/>
              <w:jc w:val="center"/>
              <w:rPr>
                <w:szCs w:val="24"/>
              </w:rPr>
            </w:pPr>
          </w:p>
        </w:tc>
        <w:tc>
          <w:tcPr>
            <w:tcW w:w="545" w:type="pct"/>
            <w:vAlign w:val="center"/>
          </w:tcPr>
          <w:p>
            <w:pPr>
              <w:adjustRightInd w:val="0"/>
              <w:snapToGrid w:val="0"/>
              <w:spacing w:line="240" w:lineRule="exact"/>
              <w:jc w:val="center"/>
              <w:rPr>
                <w:szCs w:val="24"/>
              </w:rPr>
            </w:pPr>
          </w:p>
        </w:tc>
        <w:tc>
          <w:tcPr>
            <w:tcW w:w="545" w:type="pct"/>
            <w:vAlign w:val="center"/>
          </w:tcPr>
          <w:p>
            <w:pPr>
              <w:adjustRightInd w:val="0"/>
              <w:snapToGrid w:val="0"/>
              <w:spacing w:line="240" w:lineRule="exact"/>
              <w:jc w:val="center"/>
              <w:rPr>
                <w:szCs w:val="24"/>
              </w:rPr>
            </w:pPr>
          </w:p>
        </w:tc>
        <w:tc>
          <w:tcPr>
            <w:tcW w:w="427" w:type="pct"/>
            <w:vAlign w:val="center"/>
          </w:tcPr>
          <w:p>
            <w:pPr>
              <w:adjustRightInd w:val="0"/>
              <w:snapToGrid w:val="0"/>
              <w:spacing w:line="240" w:lineRule="exact"/>
              <w:jc w:val="center"/>
              <w:rPr>
                <w:szCs w:val="24"/>
              </w:rPr>
            </w:pPr>
            <w:r>
              <w:rPr>
                <w:szCs w:val="24"/>
              </w:rPr>
              <w:t>3.00</w:t>
            </w:r>
          </w:p>
        </w:tc>
        <w:tc>
          <w:tcPr>
            <w:tcW w:w="285" w:type="pct"/>
            <w:tcBorders>
              <w:right w:val="single" w:color="auto" w:sz="4" w:space="0"/>
            </w:tcBorders>
            <w:vAlign w:val="center"/>
          </w:tcPr>
          <w:p>
            <w:pPr>
              <w:adjustRightInd w:val="0"/>
              <w:snapToGrid w:val="0"/>
              <w:spacing w:line="240" w:lineRule="exact"/>
              <w:jc w:val="center"/>
              <w:rPr>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3" w:hRule="atLeast"/>
          <w:jc w:val="center"/>
        </w:trPr>
        <w:tc>
          <w:tcPr>
            <w:tcW w:w="653" w:type="pct"/>
            <w:tcBorders>
              <w:top w:val="single" w:color="auto" w:sz="4" w:space="0"/>
            </w:tcBorders>
            <w:shd w:val="clear" w:color="auto" w:fill="auto"/>
            <w:vAlign w:val="center"/>
          </w:tcPr>
          <w:p>
            <w:pPr>
              <w:adjustRightInd w:val="0"/>
              <w:snapToGrid w:val="0"/>
              <w:spacing w:line="240" w:lineRule="exact"/>
              <w:jc w:val="center"/>
              <w:rPr>
                <w:bCs/>
                <w:szCs w:val="24"/>
              </w:rPr>
            </w:pPr>
            <w:r>
              <w:rPr>
                <w:bCs/>
                <w:szCs w:val="24"/>
              </w:rPr>
              <w:t>1</w:t>
            </w:r>
          </w:p>
        </w:tc>
        <w:tc>
          <w:tcPr>
            <w:tcW w:w="1903" w:type="pct"/>
            <w:gridSpan w:val="2"/>
            <w:shd w:val="clear" w:color="auto" w:fill="auto"/>
            <w:vAlign w:val="center"/>
          </w:tcPr>
          <w:p>
            <w:pPr>
              <w:adjustRightInd w:val="0"/>
              <w:snapToGrid w:val="0"/>
              <w:spacing w:line="240" w:lineRule="exact"/>
              <w:jc w:val="center"/>
              <w:rPr>
                <w:bCs/>
                <w:szCs w:val="24"/>
              </w:rPr>
            </w:pPr>
            <w:r>
              <w:rPr>
                <w:bCs/>
                <w:szCs w:val="24"/>
              </w:rPr>
              <w:t xml:space="preserve">勘察费 </w:t>
            </w:r>
          </w:p>
        </w:tc>
        <w:tc>
          <w:tcPr>
            <w:tcW w:w="642" w:type="pct"/>
            <w:vAlign w:val="center"/>
          </w:tcPr>
          <w:p>
            <w:pPr>
              <w:adjustRightInd w:val="0"/>
              <w:snapToGrid w:val="0"/>
              <w:spacing w:line="240" w:lineRule="exact"/>
              <w:jc w:val="center"/>
              <w:rPr>
                <w:szCs w:val="24"/>
              </w:rPr>
            </w:pPr>
          </w:p>
        </w:tc>
        <w:tc>
          <w:tcPr>
            <w:tcW w:w="545" w:type="pct"/>
            <w:vAlign w:val="center"/>
          </w:tcPr>
          <w:p>
            <w:pPr>
              <w:adjustRightInd w:val="0"/>
              <w:snapToGrid w:val="0"/>
              <w:spacing w:line="240" w:lineRule="exact"/>
              <w:jc w:val="center"/>
              <w:rPr>
                <w:szCs w:val="24"/>
              </w:rPr>
            </w:pPr>
          </w:p>
        </w:tc>
        <w:tc>
          <w:tcPr>
            <w:tcW w:w="545" w:type="pct"/>
            <w:vAlign w:val="center"/>
          </w:tcPr>
          <w:p>
            <w:pPr>
              <w:adjustRightInd w:val="0"/>
              <w:snapToGrid w:val="0"/>
              <w:spacing w:line="240" w:lineRule="exact"/>
              <w:jc w:val="center"/>
              <w:rPr>
                <w:szCs w:val="24"/>
              </w:rPr>
            </w:pPr>
          </w:p>
        </w:tc>
        <w:tc>
          <w:tcPr>
            <w:tcW w:w="427" w:type="pct"/>
            <w:vAlign w:val="center"/>
          </w:tcPr>
          <w:p>
            <w:pPr>
              <w:adjustRightInd w:val="0"/>
              <w:snapToGrid w:val="0"/>
              <w:spacing w:line="240" w:lineRule="exact"/>
              <w:jc w:val="center"/>
              <w:rPr>
                <w:szCs w:val="24"/>
              </w:rPr>
            </w:pPr>
            <w:r>
              <w:rPr>
                <w:szCs w:val="24"/>
              </w:rPr>
              <w:t>0.80</w:t>
            </w:r>
          </w:p>
        </w:tc>
        <w:tc>
          <w:tcPr>
            <w:tcW w:w="285" w:type="pct"/>
            <w:tcBorders>
              <w:right w:val="single" w:color="auto" w:sz="4" w:space="0"/>
            </w:tcBorders>
            <w:vAlign w:val="center"/>
          </w:tcPr>
          <w:p>
            <w:pPr>
              <w:adjustRightInd w:val="0"/>
              <w:snapToGrid w:val="0"/>
              <w:spacing w:line="240" w:lineRule="exact"/>
              <w:jc w:val="center"/>
              <w:rPr>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3" w:hRule="atLeast"/>
          <w:jc w:val="center"/>
        </w:trPr>
        <w:tc>
          <w:tcPr>
            <w:tcW w:w="653" w:type="pct"/>
            <w:tcBorders>
              <w:top w:val="single" w:color="auto" w:sz="4" w:space="0"/>
            </w:tcBorders>
            <w:shd w:val="clear" w:color="auto" w:fill="auto"/>
            <w:vAlign w:val="center"/>
          </w:tcPr>
          <w:p>
            <w:pPr>
              <w:adjustRightInd w:val="0"/>
              <w:snapToGrid w:val="0"/>
              <w:spacing w:line="240" w:lineRule="exact"/>
              <w:jc w:val="center"/>
              <w:rPr>
                <w:bCs/>
                <w:szCs w:val="24"/>
              </w:rPr>
            </w:pPr>
            <w:r>
              <w:rPr>
                <w:bCs/>
                <w:szCs w:val="24"/>
              </w:rPr>
              <w:t>2</w:t>
            </w:r>
          </w:p>
        </w:tc>
        <w:tc>
          <w:tcPr>
            <w:tcW w:w="1903" w:type="pct"/>
            <w:gridSpan w:val="2"/>
            <w:shd w:val="clear" w:color="auto" w:fill="auto"/>
            <w:vAlign w:val="center"/>
          </w:tcPr>
          <w:p>
            <w:pPr>
              <w:adjustRightInd w:val="0"/>
              <w:snapToGrid w:val="0"/>
              <w:spacing w:line="240" w:lineRule="exact"/>
              <w:jc w:val="center"/>
              <w:rPr>
                <w:bCs/>
                <w:szCs w:val="24"/>
              </w:rPr>
            </w:pPr>
            <w:r>
              <w:rPr>
                <w:bCs/>
                <w:szCs w:val="24"/>
              </w:rPr>
              <w:t>设计费</w:t>
            </w:r>
          </w:p>
        </w:tc>
        <w:tc>
          <w:tcPr>
            <w:tcW w:w="642" w:type="pct"/>
            <w:vAlign w:val="center"/>
          </w:tcPr>
          <w:p>
            <w:pPr>
              <w:adjustRightInd w:val="0"/>
              <w:snapToGrid w:val="0"/>
              <w:spacing w:line="240" w:lineRule="exact"/>
              <w:jc w:val="center"/>
              <w:rPr>
                <w:szCs w:val="24"/>
              </w:rPr>
            </w:pPr>
          </w:p>
        </w:tc>
        <w:tc>
          <w:tcPr>
            <w:tcW w:w="545" w:type="pct"/>
            <w:vAlign w:val="center"/>
          </w:tcPr>
          <w:p>
            <w:pPr>
              <w:adjustRightInd w:val="0"/>
              <w:snapToGrid w:val="0"/>
              <w:spacing w:line="240" w:lineRule="exact"/>
              <w:jc w:val="center"/>
              <w:rPr>
                <w:szCs w:val="24"/>
              </w:rPr>
            </w:pPr>
          </w:p>
        </w:tc>
        <w:tc>
          <w:tcPr>
            <w:tcW w:w="545" w:type="pct"/>
            <w:vAlign w:val="center"/>
          </w:tcPr>
          <w:p>
            <w:pPr>
              <w:adjustRightInd w:val="0"/>
              <w:snapToGrid w:val="0"/>
              <w:spacing w:line="240" w:lineRule="exact"/>
              <w:jc w:val="center"/>
              <w:rPr>
                <w:szCs w:val="24"/>
              </w:rPr>
            </w:pPr>
          </w:p>
        </w:tc>
        <w:tc>
          <w:tcPr>
            <w:tcW w:w="427" w:type="pct"/>
            <w:vAlign w:val="center"/>
          </w:tcPr>
          <w:p>
            <w:pPr>
              <w:adjustRightInd w:val="0"/>
              <w:snapToGrid w:val="0"/>
              <w:spacing w:line="240" w:lineRule="exact"/>
              <w:jc w:val="center"/>
              <w:rPr>
                <w:szCs w:val="24"/>
              </w:rPr>
            </w:pPr>
            <w:r>
              <w:rPr>
                <w:szCs w:val="24"/>
              </w:rPr>
              <w:t>2.20</w:t>
            </w:r>
          </w:p>
        </w:tc>
        <w:tc>
          <w:tcPr>
            <w:tcW w:w="285" w:type="pct"/>
            <w:tcBorders>
              <w:right w:val="single" w:color="auto" w:sz="4" w:space="0"/>
            </w:tcBorders>
            <w:vAlign w:val="center"/>
          </w:tcPr>
          <w:p>
            <w:pPr>
              <w:adjustRightInd w:val="0"/>
              <w:snapToGrid w:val="0"/>
              <w:spacing w:line="240" w:lineRule="exact"/>
              <w:jc w:val="center"/>
              <w:rPr>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3" w:hRule="atLeast"/>
          <w:jc w:val="center"/>
        </w:trPr>
        <w:tc>
          <w:tcPr>
            <w:tcW w:w="2556" w:type="pct"/>
            <w:gridSpan w:val="3"/>
            <w:tcBorders>
              <w:top w:val="single" w:color="auto" w:sz="4" w:space="0"/>
            </w:tcBorders>
            <w:shd w:val="clear" w:color="auto" w:fill="auto"/>
            <w:vAlign w:val="center"/>
          </w:tcPr>
          <w:p>
            <w:pPr>
              <w:adjustRightInd w:val="0"/>
              <w:snapToGrid w:val="0"/>
              <w:spacing w:line="240" w:lineRule="exact"/>
              <w:jc w:val="center"/>
              <w:rPr>
                <w:szCs w:val="24"/>
              </w:rPr>
            </w:pPr>
            <w:r>
              <w:rPr>
                <w:szCs w:val="24"/>
              </w:rPr>
              <w:t>六、预备费（6%）</w:t>
            </w:r>
          </w:p>
        </w:tc>
        <w:tc>
          <w:tcPr>
            <w:tcW w:w="642" w:type="pct"/>
            <w:vAlign w:val="center"/>
          </w:tcPr>
          <w:p>
            <w:pPr>
              <w:adjustRightInd w:val="0"/>
              <w:snapToGrid w:val="0"/>
              <w:spacing w:line="240" w:lineRule="exact"/>
              <w:jc w:val="center"/>
              <w:rPr>
                <w:szCs w:val="24"/>
              </w:rPr>
            </w:pPr>
          </w:p>
        </w:tc>
        <w:tc>
          <w:tcPr>
            <w:tcW w:w="545" w:type="pct"/>
            <w:vAlign w:val="center"/>
          </w:tcPr>
          <w:p>
            <w:pPr>
              <w:adjustRightInd w:val="0"/>
              <w:snapToGrid w:val="0"/>
              <w:spacing w:line="240" w:lineRule="exact"/>
              <w:jc w:val="center"/>
              <w:rPr>
                <w:szCs w:val="24"/>
              </w:rPr>
            </w:pPr>
          </w:p>
        </w:tc>
        <w:tc>
          <w:tcPr>
            <w:tcW w:w="545" w:type="pct"/>
            <w:vAlign w:val="center"/>
          </w:tcPr>
          <w:p>
            <w:pPr>
              <w:adjustRightInd w:val="0"/>
              <w:snapToGrid w:val="0"/>
              <w:spacing w:line="240" w:lineRule="exact"/>
              <w:jc w:val="center"/>
              <w:rPr>
                <w:szCs w:val="24"/>
              </w:rPr>
            </w:pPr>
          </w:p>
        </w:tc>
        <w:tc>
          <w:tcPr>
            <w:tcW w:w="427" w:type="pct"/>
            <w:vAlign w:val="center"/>
          </w:tcPr>
          <w:p>
            <w:pPr>
              <w:adjustRightInd w:val="0"/>
              <w:snapToGrid w:val="0"/>
              <w:spacing w:line="240" w:lineRule="exact"/>
              <w:jc w:val="center"/>
              <w:rPr>
                <w:szCs w:val="24"/>
              </w:rPr>
            </w:pPr>
            <w:r>
              <w:rPr>
                <w:rFonts w:hint="eastAsia"/>
                <w:szCs w:val="24"/>
              </w:rPr>
              <w:t>1.34</w:t>
            </w:r>
          </w:p>
        </w:tc>
        <w:tc>
          <w:tcPr>
            <w:tcW w:w="285" w:type="pct"/>
            <w:tcBorders>
              <w:right w:val="single" w:color="auto" w:sz="4" w:space="0"/>
            </w:tcBorders>
            <w:vAlign w:val="center"/>
          </w:tcPr>
          <w:p>
            <w:pPr>
              <w:adjustRightInd w:val="0"/>
              <w:snapToGrid w:val="0"/>
              <w:spacing w:line="240" w:lineRule="exact"/>
              <w:jc w:val="center"/>
              <w:rPr>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3" w:hRule="atLeast"/>
          <w:jc w:val="center"/>
        </w:trPr>
        <w:tc>
          <w:tcPr>
            <w:tcW w:w="666" w:type="pct"/>
            <w:gridSpan w:val="2"/>
            <w:tcBorders>
              <w:top w:val="single" w:color="auto" w:sz="4" w:space="0"/>
              <w:right w:val="single" w:color="auto" w:sz="4" w:space="0"/>
            </w:tcBorders>
            <w:shd w:val="clear" w:color="auto" w:fill="auto"/>
            <w:vAlign w:val="center"/>
          </w:tcPr>
          <w:p>
            <w:pPr>
              <w:adjustRightInd w:val="0"/>
              <w:snapToGrid w:val="0"/>
              <w:spacing w:line="240" w:lineRule="exact"/>
              <w:jc w:val="center"/>
              <w:rPr>
                <w:bCs/>
                <w:szCs w:val="24"/>
              </w:rPr>
            </w:pPr>
            <w:r>
              <w:rPr>
                <w:bCs/>
                <w:szCs w:val="24"/>
              </w:rPr>
              <w:t>1</w:t>
            </w:r>
          </w:p>
        </w:tc>
        <w:tc>
          <w:tcPr>
            <w:tcW w:w="1890" w:type="pct"/>
            <w:tcBorders>
              <w:top w:val="single" w:color="auto" w:sz="4" w:space="0"/>
              <w:left w:val="single" w:color="auto" w:sz="4" w:space="0"/>
            </w:tcBorders>
            <w:shd w:val="clear" w:color="auto" w:fill="auto"/>
            <w:vAlign w:val="center"/>
          </w:tcPr>
          <w:p>
            <w:pPr>
              <w:adjustRightInd w:val="0"/>
              <w:snapToGrid w:val="0"/>
              <w:spacing w:line="240" w:lineRule="exact"/>
              <w:jc w:val="center"/>
              <w:rPr>
                <w:szCs w:val="24"/>
              </w:rPr>
            </w:pPr>
            <w:r>
              <w:rPr>
                <w:bCs/>
                <w:szCs w:val="24"/>
              </w:rPr>
              <w:t>基本预备费（3%）</w:t>
            </w:r>
          </w:p>
        </w:tc>
        <w:tc>
          <w:tcPr>
            <w:tcW w:w="642" w:type="pct"/>
            <w:vAlign w:val="center"/>
          </w:tcPr>
          <w:p>
            <w:pPr>
              <w:adjustRightInd w:val="0"/>
              <w:snapToGrid w:val="0"/>
              <w:spacing w:line="240" w:lineRule="exact"/>
              <w:jc w:val="center"/>
              <w:rPr>
                <w:szCs w:val="24"/>
              </w:rPr>
            </w:pPr>
          </w:p>
        </w:tc>
        <w:tc>
          <w:tcPr>
            <w:tcW w:w="545" w:type="pct"/>
            <w:vAlign w:val="center"/>
          </w:tcPr>
          <w:p>
            <w:pPr>
              <w:adjustRightInd w:val="0"/>
              <w:snapToGrid w:val="0"/>
              <w:spacing w:line="240" w:lineRule="exact"/>
              <w:jc w:val="center"/>
              <w:rPr>
                <w:szCs w:val="24"/>
              </w:rPr>
            </w:pPr>
          </w:p>
        </w:tc>
        <w:tc>
          <w:tcPr>
            <w:tcW w:w="545" w:type="pct"/>
            <w:vAlign w:val="center"/>
          </w:tcPr>
          <w:p>
            <w:pPr>
              <w:adjustRightInd w:val="0"/>
              <w:snapToGrid w:val="0"/>
              <w:spacing w:line="240" w:lineRule="exact"/>
              <w:jc w:val="center"/>
              <w:rPr>
                <w:szCs w:val="24"/>
              </w:rPr>
            </w:pPr>
          </w:p>
        </w:tc>
        <w:tc>
          <w:tcPr>
            <w:tcW w:w="427" w:type="pct"/>
            <w:vAlign w:val="center"/>
          </w:tcPr>
          <w:p>
            <w:pPr>
              <w:adjustRightInd w:val="0"/>
              <w:snapToGrid w:val="0"/>
              <w:spacing w:line="240" w:lineRule="exact"/>
              <w:jc w:val="center"/>
              <w:rPr>
                <w:szCs w:val="24"/>
              </w:rPr>
            </w:pPr>
            <w:r>
              <w:rPr>
                <w:rFonts w:hint="eastAsia"/>
                <w:szCs w:val="24"/>
              </w:rPr>
              <w:t>0.67</w:t>
            </w:r>
          </w:p>
        </w:tc>
        <w:tc>
          <w:tcPr>
            <w:tcW w:w="285" w:type="pct"/>
            <w:tcBorders>
              <w:right w:val="single" w:color="auto" w:sz="4" w:space="0"/>
            </w:tcBorders>
            <w:vAlign w:val="center"/>
          </w:tcPr>
          <w:p>
            <w:pPr>
              <w:adjustRightInd w:val="0"/>
              <w:snapToGrid w:val="0"/>
              <w:spacing w:line="240" w:lineRule="exact"/>
              <w:jc w:val="center"/>
              <w:rPr>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3" w:hRule="atLeast"/>
          <w:jc w:val="center"/>
        </w:trPr>
        <w:tc>
          <w:tcPr>
            <w:tcW w:w="666" w:type="pct"/>
            <w:gridSpan w:val="2"/>
            <w:tcBorders>
              <w:top w:val="single" w:color="auto" w:sz="4" w:space="0"/>
              <w:right w:val="single" w:color="auto" w:sz="4" w:space="0"/>
            </w:tcBorders>
            <w:shd w:val="clear" w:color="auto" w:fill="auto"/>
            <w:vAlign w:val="center"/>
          </w:tcPr>
          <w:p>
            <w:pPr>
              <w:adjustRightInd w:val="0"/>
              <w:snapToGrid w:val="0"/>
              <w:spacing w:line="240" w:lineRule="exact"/>
              <w:jc w:val="center"/>
              <w:rPr>
                <w:bCs/>
                <w:szCs w:val="24"/>
              </w:rPr>
            </w:pPr>
            <w:r>
              <w:rPr>
                <w:bCs/>
                <w:szCs w:val="24"/>
              </w:rPr>
              <w:t>2</w:t>
            </w:r>
          </w:p>
        </w:tc>
        <w:tc>
          <w:tcPr>
            <w:tcW w:w="1890" w:type="pct"/>
            <w:tcBorders>
              <w:top w:val="single" w:color="auto" w:sz="4" w:space="0"/>
              <w:left w:val="single" w:color="auto" w:sz="4" w:space="0"/>
            </w:tcBorders>
            <w:shd w:val="clear" w:color="auto" w:fill="auto"/>
            <w:vAlign w:val="center"/>
          </w:tcPr>
          <w:p>
            <w:pPr>
              <w:adjustRightInd w:val="0"/>
              <w:snapToGrid w:val="0"/>
              <w:spacing w:line="240" w:lineRule="exact"/>
              <w:jc w:val="center"/>
              <w:rPr>
                <w:szCs w:val="24"/>
              </w:rPr>
            </w:pPr>
            <w:r>
              <w:rPr>
                <w:bCs/>
                <w:szCs w:val="24"/>
              </w:rPr>
              <w:t>风险金（3%）</w:t>
            </w:r>
          </w:p>
        </w:tc>
        <w:tc>
          <w:tcPr>
            <w:tcW w:w="642" w:type="pct"/>
            <w:vAlign w:val="center"/>
          </w:tcPr>
          <w:p>
            <w:pPr>
              <w:adjustRightInd w:val="0"/>
              <w:snapToGrid w:val="0"/>
              <w:spacing w:line="240" w:lineRule="exact"/>
              <w:jc w:val="center"/>
              <w:rPr>
                <w:szCs w:val="24"/>
              </w:rPr>
            </w:pPr>
          </w:p>
        </w:tc>
        <w:tc>
          <w:tcPr>
            <w:tcW w:w="545" w:type="pct"/>
            <w:vAlign w:val="center"/>
          </w:tcPr>
          <w:p>
            <w:pPr>
              <w:adjustRightInd w:val="0"/>
              <w:snapToGrid w:val="0"/>
              <w:spacing w:line="240" w:lineRule="exact"/>
              <w:jc w:val="center"/>
              <w:rPr>
                <w:szCs w:val="24"/>
              </w:rPr>
            </w:pPr>
          </w:p>
        </w:tc>
        <w:tc>
          <w:tcPr>
            <w:tcW w:w="545" w:type="pct"/>
            <w:vAlign w:val="center"/>
          </w:tcPr>
          <w:p>
            <w:pPr>
              <w:adjustRightInd w:val="0"/>
              <w:snapToGrid w:val="0"/>
              <w:spacing w:line="240" w:lineRule="exact"/>
              <w:jc w:val="center"/>
              <w:rPr>
                <w:szCs w:val="24"/>
              </w:rPr>
            </w:pPr>
          </w:p>
        </w:tc>
        <w:tc>
          <w:tcPr>
            <w:tcW w:w="427" w:type="pct"/>
            <w:vAlign w:val="center"/>
          </w:tcPr>
          <w:p>
            <w:pPr>
              <w:adjustRightInd w:val="0"/>
              <w:snapToGrid w:val="0"/>
              <w:spacing w:line="240" w:lineRule="exact"/>
              <w:jc w:val="center"/>
              <w:rPr>
                <w:szCs w:val="24"/>
              </w:rPr>
            </w:pPr>
            <w:r>
              <w:rPr>
                <w:szCs w:val="24"/>
              </w:rPr>
              <w:t>0.</w:t>
            </w:r>
            <w:r>
              <w:rPr>
                <w:rFonts w:hint="eastAsia"/>
                <w:szCs w:val="24"/>
              </w:rPr>
              <w:t>67</w:t>
            </w:r>
          </w:p>
        </w:tc>
        <w:tc>
          <w:tcPr>
            <w:tcW w:w="285" w:type="pct"/>
            <w:tcBorders>
              <w:right w:val="single" w:color="auto" w:sz="4" w:space="0"/>
            </w:tcBorders>
            <w:vAlign w:val="center"/>
          </w:tcPr>
          <w:p>
            <w:pPr>
              <w:adjustRightInd w:val="0"/>
              <w:snapToGrid w:val="0"/>
              <w:spacing w:line="240" w:lineRule="exact"/>
              <w:jc w:val="center"/>
              <w:rPr>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3" w:hRule="atLeast"/>
          <w:jc w:val="center"/>
        </w:trPr>
        <w:tc>
          <w:tcPr>
            <w:tcW w:w="2556" w:type="pct"/>
            <w:gridSpan w:val="3"/>
            <w:shd w:val="clear" w:color="auto" w:fill="auto"/>
            <w:vAlign w:val="center"/>
          </w:tcPr>
          <w:p>
            <w:pPr>
              <w:adjustRightInd w:val="0"/>
              <w:snapToGrid w:val="0"/>
              <w:spacing w:line="240" w:lineRule="exact"/>
              <w:jc w:val="center"/>
              <w:rPr>
                <w:szCs w:val="24"/>
              </w:rPr>
            </w:pPr>
            <w:r>
              <w:rPr>
                <w:szCs w:val="24"/>
              </w:rPr>
              <w:t>合   计</w:t>
            </w:r>
          </w:p>
        </w:tc>
        <w:tc>
          <w:tcPr>
            <w:tcW w:w="2444" w:type="pct"/>
            <w:gridSpan w:val="5"/>
            <w:tcBorders>
              <w:right w:val="single" w:color="auto" w:sz="4" w:space="0"/>
            </w:tcBorders>
            <w:vAlign w:val="center"/>
          </w:tcPr>
          <w:p>
            <w:pPr>
              <w:adjustRightInd w:val="0"/>
              <w:snapToGrid w:val="0"/>
              <w:spacing w:line="240" w:lineRule="exact"/>
              <w:jc w:val="center"/>
              <w:rPr>
                <w:szCs w:val="24"/>
              </w:rPr>
            </w:pPr>
            <w:r>
              <w:rPr>
                <w:rFonts w:hint="eastAsia"/>
                <w:szCs w:val="24"/>
              </w:rPr>
              <w:t>23.68</w:t>
            </w:r>
          </w:p>
        </w:tc>
      </w:tr>
    </w:tbl>
    <w:p>
      <w:pPr>
        <w:pStyle w:val="41"/>
        <w:numPr>
          <w:ilvl w:val="0"/>
          <w:numId w:val="0"/>
        </w:numPr>
        <w:spacing w:line="560" w:lineRule="exact"/>
        <w:rPr>
          <w:rFonts w:ascii="Times New Roman" w:eastAsia="宋体"/>
          <w:bCs/>
          <w:sz w:val="24"/>
          <w:szCs w:val="24"/>
        </w:rPr>
      </w:pPr>
      <w:r>
        <w:rPr>
          <w:rFonts w:hint="eastAsia" w:ascii="Times New Roman" w:eastAsia="宋体"/>
          <w:b/>
          <w:bCs/>
          <w:sz w:val="24"/>
          <w:szCs w:val="24"/>
        </w:rPr>
        <w:t>土地复垦</w:t>
      </w:r>
      <w:r>
        <w:rPr>
          <w:rFonts w:ascii="Times New Roman" w:eastAsia="宋体"/>
          <w:b/>
          <w:bCs/>
          <w:sz w:val="24"/>
          <w:szCs w:val="24"/>
        </w:rPr>
        <w:t xml:space="preserve">工程施工费估算表 </w:t>
      </w:r>
      <w:r>
        <w:rPr>
          <w:rFonts w:ascii="Times New Roman" w:eastAsia="宋体"/>
          <w:bCs/>
          <w:sz w:val="24"/>
          <w:szCs w:val="24"/>
        </w:rPr>
        <w:t xml:space="preserve">           表</w:t>
      </w:r>
      <w:r>
        <w:rPr>
          <w:rFonts w:hint="eastAsia" w:ascii="Times New Roman" w:eastAsia="宋体"/>
          <w:bCs/>
          <w:sz w:val="24"/>
          <w:szCs w:val="24"/>
        </w:rPr>
        <w:t>6-14</w:t>
      </w:r>
    </w:p>
    <w:p>
      <w:pPr>
        <w:snapToGrid w:val="0"/>
        <w:jc w:val="right"/>
        <w:rPr>
          <w:kern w:val="0"/>
          <w:szCs w:val="24"/>
        </w:rPr>
      </w:pPr>
      <w:r>
        <w:rPr>
          <w:kern w:val="0"/>
          <w:szCs w:val="24"/>
        </w:rPr>
        <w:t>金额单位：元</w:t>
      </w:r>
    </w:p>
    <w:tbl>
      <w:tblPr>
        <w:tblStyle w:val="21"/>
        <w:tblW w:w="4850" w:type="pct"/>
        <w:tblInd w:w="108" w:type="dxa"/>
        <w:tblLayout w:type="autofit"/>
        <w:tblCellMar>
          <w:top w:w="0" w:type="dxa"/>
          <w:left w:w="108" w:type="dxa"/>
          <w:bottom w:w="0" w:type="dxa"/>
          <w:right w:w="108" w:type="dxa"/>
        </w:tblCellMar>
      </w:tblPr>
      <w:tblGrid>
        <w:gridCol w:w="1164"/>
        <w:gridCol w:w="1671"/>
        <w:gridCol w:w="1896"/>
        <w:gridCol w:w="1077"/>
        <w:gridCol w:w="1077"/>
        <w:gridCol w:w="1176"/>
        <w:gridCol w:w="947"/>
      </w:tblGrid>
      <w:tr>
        <w:tblPrEx>
          <w:tblCellMar>
            <w:top w:w="0" w:type="dxa"/>
            <w:left w:w="108" w:type="dxa"/>
            <w:bottom w:w="0" w:type="dxa"/>
            <w:right w:w="108" w:type="dxa"/>
          </w:tblCellMar>
        </w:tblPrEx>
        <w:trPr>
          <w:trHeight w:val="285" w:hRule="atLeast"/>
        </w:trPr>
        <w:tc>
          <w:tcPr>
            <w:tcW w:w="713" w:type="pct"/>
            <w:vMerge w:val="restart"/>
            <w:tcBorders>
              <w:top w:val="single" w:color="auto" w:sz="8" w:space="0"/>
              <w:left w:val="single" w:color="auto" w:sz="8" w:space="0"/>
              <w:bottom w:val="single" w:color="000000" w:sz="8" w:space="0"/>
              <w:right w:val="single" w:color="auto" w:sz="8" w:space="0"/>
            </w:tcBorders>
            <w:shd w:val="clear" w:color="auto" w:fill="auto"/>
            <w:noWrap/>
            <w:vAlign w:val="center"/>
          </w:tcPr>
          <w:p>
            <w:pPr>
              <w:widowControl/>
              <w:jc w:val="center"/>
              <w:rPr>
                <w:kern w:val="0"/>
                <w:szCs w:val="24"/>
              </w:rPr>
            </w:pPr>
            <w:r>
              <w:rPr>
                <w:kern w:val="0"/>
                <w:szCs w:val="24"/>
              </w:rPr>
              <w:t>序号</w:t>
            </w:r>
          </w:p>
        </w:tc>
        <w:tc>
          <w:tcPr>
            <w:tcW w:w="806" w:type="pct"/>
            <w:tcBorders>
              <w:top w:val="single" w:color="auto" w:sz="8" w:space="0"/>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定额序号</w:t>
            </w:r>
          </w:p>
        </w:tc>
        <w:tc>
          <w:tcPr>
            <w:tcW w:w="915" w:type="pct"/>
            <w:tcBorders>
              <w:top w:val="single" w:color="auto" w:sz="8" w:space="0"/>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单项名称</w:t>
            </w:r>
          </w:p>
        </w:tc>
        <w:tc>
          <w:tcPr>
            <w:tcW w:w="665" w:type="pct"/>
            <w:tcBorders>
              <w:top w:val="single" w:color="auto" w:sz="8" w:space="0"/>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单位</w:t>
            </w:r>
          </w:p>
        </w:tc>
        <w:tc>
          <w:tcPr>
            <w:tcW w:w="665" w:type="pct"/>
            <w:tcBorders>
              <w:top w:val="single" w:color="auto" w:sz="8" w:space="0"/>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工程量</w:t>
            </w:r>
          </w:p>
        </w:tc>
        <w:tc>
          <w:tcPr>
            <w:tcW w:w="665" w:type="pct"/>
            <w:tcBorders>
              <w:top w:val="single" w:color="auto" w:sz="8" w:space="0"/>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综合单价</w:t>
            </w:r>
          </w:p>
        </w:tc>
        <w:tc>
          <w:tcPr>
            <w:tcW w:w="570" w:type="pct"/>
            <w:tcBorders>
              <w:top w:val="single" w:color="auto" w:sz="8" w:space="0"/>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合计</w:t>
            </w:r>
          </w:p>
        </w:tc>
      </w:tr>
      <w:tr>
        <w:tblPrEx>
          <w:tblCellMar>
            <w:top w:w="0" w:type="dxa"/>
            <w:left w:w="108" w:type="dxa"/>
            <w:bottom w:w="0" w:type="dxa"/>
            <w:right w:w="108" w:type="dxa"/>
          </w:tblCellMar>
        </w:tblPrEx>
        <w:trPr>
          <w:trHeight w:val="285" w:hRule="atLeast"/>
        </w:trPr>
        <w:tc>
          <w:tcPr>
            <w:tcW w:w="713" w:type="pct"/>
            <w:vMerge w:val="continue"/>
            <w:tcBorders>
              <w:top w:val="single" w:color="auto" w:sz="8" w:space="0"/>
              <w:left w:val="single" w:color="auto" w:sz="8" w:space="0"/>
              <w:bottom w:val="single" w:color="000000" w:sz="8" w:space="0"/>
              <w:right w:val="single" w:color="auto" w:sz="8" w:space="0"/>
            </w:tcBorders>
            <w:vAlign w:val="center"/>
          </w:tcPr>
          <w:p>
            <w:pPr>
              <w:widowControl/>
              <w:jc w:val="left"/>
              <w:rPr>
                <w:kern w:val="0"/>
                <w:szCs w:val="24"/>
              </w:rPr>
            </w:pPr>
          </w:p>
        </w:tc>
        <w:tc>
          <w:tcPr>
            <w:tcW w:w="806"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-1</w:t>
            </w:r>
          </w:p>
        </w:tc>
        <w:tc>
          <w:tcPr>
            <w:tcW w:w="91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-2</w:t>
            </w:r>
          </w:p>
        </w:tc>
        <w:tc>
          <w:tcPr>
            <w:tcW w:w="66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-3</w:t>
            </w:r>
          </w:p>
        </w:tc>
        <w:tc>
          <w:tcPr>
            <w:tcW w:w="66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-4</w:t>
            </w:r>
          </w:p>
        </w:tc>
        <w:tc>
          <w:tcPr>
            <w:tcW w:w="66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-5</w:t>
            </w:r>
          </w:p>
        </w:tc>
        <w:tc>
          <w:tcPr>
            <w:tcW w:w="570"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-6</w:t>
            </w:r>
          </w:p>
        </w:tc>
      </w:tr>
      <w:tr>
        <w:tblPrEx>
          <w:tblCellMar>
            <w:top w:w="0" w:type="dxa"/>
            <w:left w:w="108" w:type="dxa"/>
            <w:bottom w:w="0" w:type="dxa"/>
            <w:right w:w="108" w:type="dxa"/>
          </w:tblCellMar>
        </w:tblPrEx>
        <w:trPr>
          <w:trHeight w:val="285" w:hRule="atLeast"/>
        </w:trPr>
        <w:tc>
          <w:tcPr>
            <w:tcW w:w="713" w:type="pct"/>
            <w:tcBorders>
              <w:top w:val="nil"/>
              <w:left w:val="single" w:color="auto" w:sz="8" w:space="0"/>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一</w:t>
            </w:r>
          </w:p>
        </w:tc>
        <w:tc>
          <w:tcPr>
            <w:tcW w:w="806"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　</w:t>
            </w:r>
          </w:p>
        </w:tc>
        <w:tc>
          <w:tcPr>
            <w:tcW w:w="91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土壤重构工程</w:t>
            </w:r>
          </w:p>
        </w:tc>
        <w:tc>
          <w:tcPr>
            <w:tcW w:w="66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　</w:t>
            </w:r>
          </w:p>
        </w:tc>
        <w:tc>
          <w:tcPr>
            <w:tcW w:w="66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　</w:t>
            </w:r>
          </w:p>
        </w:tc>
        <w:tc>
          <w:tcPr>
            <w:tcW w:w="66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　</w:t>
            </w:r>
          </w:p>
        </w:tc>
        <w:tc>
          <w:tcPr>
            <w:tcW w:w="570"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fldChar w:fldCharType="begin"/>
            </w:r>
            <w:r>
              <w:rPr>
                <w:kern w:val="0"/>
                <w:szCs w:val="24"/>
              </w:rPr>
              <w:instrText xml:space="preserve"> =SUM(ABOVE) </w:instrText>
            </w:r>
            <w:r>
              <w:rPr>
                <w:kern w:val="0"/>
                <w:szCs w:val="24"/>
              </w:rPr>
              <w:fldChar w:fldCharType="separate"/>
            </w:r>
            <w:r>
              <w:rPr>
                <w:kern w:val="0"/>
                <w:szCs w:val="24"/>
              </w:rPr>
              <w:t>218522</w:t>
            </w:r>
            <w:r>
              <w:rPr>
                <w:kern w:val="0"/>
                <w:szCs w:val="24"/>
              </w:rPr>
              <w:fldChar w:fldCharType="end"/>
            </w:r>
          </w:p>
        </w:tc>
      </w:tr>
      <w:tr>
        <w:tblPrEx>
          <w:tblCellMar>
            <w:top w:w="0" w:type="dxa"/>
            <w:left w:w="108" w:type="dxa"/>
            <w:bottom w:w="0" w:type="dxa"/>
            <w:right w:w="108" w:type="dxa"/>
          </w:tblCellMar>
        </w:tblPrEx>
        <w:trPr>
          <w:trHeight w:val="285" w:hRule="atLeast"/>
        </w:trPr>
        <w:tc>
          <w:tcPr>
            <w:tcW w:w="713" w:type="pct"/>
            <w:tcBorders>
              <w:top w:val="nil"/>
              <w:left w:val="single" w:color="auto" w:sz="8" w:space="0"/>
              <w:bottom w:val="single" w:color="auto" w:sz="8" w:space="0"/>
              <w:right w:val="single" w:color="auto" w:sz="8" w:space="0"/>
            </w:tcBorders>
            <w:shd w:val="clear" w:color="auto" w:fill="auto"/>
            <w:noWrap/>
            <w:vAlign w:val="center"/>
          </w:tcPr>
          <w:p>
            <w:pPr>
              <w:widowControl/>
              <w:jc w:val="center"/>
              <w:rPr>
                <w:kern w:val="0"/>
                <w:szCs w:val="24"/>
              </w:rPr>
            </w:pPr>
            <w:r>
              <w:rPr>
                <w:rFonts w:hint="eastAsia"/>
                <w:kern w:val="0"/>
                <w:szCs w:val="24"/>
              </w:rPr>
              <w:t>1</w:t>
            </w:r>
          </w:p>
        </w:tc>
        <w:tc>
          <w:tcPr>
            <w:tcW w:w="806"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10218</w:t>
            </w:r>
          </w:p>
        </w:tc>
        <w:tc>
          <w:tcPr>
            <w:tcW w:w="91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客土覆盖</w:t>
            </w:r>
          </w:p>
        </w:tc>
        <w:tc>
          <w:tcPr>
            <w:tcW w:w="66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100m³</w:t>
            </w:r>
          </w:p>
        </w:tc>
        <w:tc>
          <w:tcPr>
            <w:tcW w:w="66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rFonts w:hint="eastAsia"/>
                <w:kern w:val="0"/>
                <w:szCs w:val="24"/>
              </w:rPr>
              <w:t>143</w:t>
            </w:r>
          </w:p>
        </w:tc>
        <w:tc>
          <w:tcPr>
            <w:tcW w:w="66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1239.54</w:t>
            </w:r>
          </w:p>
        </w:tc>
        <w:tc>
          <w:tcPr>
            <w:tcW w:w="570"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rFonts w:hint="eastAsia"/>
                <w:kern w:val="0"/>
                <w:szCs w:val="24"/>
              </w:rPr>
              <w:t>177254</w:t>
            </w:r>
          </w:p>
        </w:tc>
      </w:tr>
      <w:tr>
        <w:tblPrEx>
          <w:tblCellMar>
            <w:top w:w="0" w:type="dxa"/>
            <w:left w:w="108" w:type="dxa"/>
            <w:bottom w:w="0" w:type="dxa"/>
            <w:right w:w="108" w:type="dxa"/>
          </w:tblCellMar>
        </w:tblPrEx>
        <w:trPr>
          <w:trHeight w:val="285" w:hRule="atLeast"/>
        </w:trPr>
        <w:tc>
          <w:tcPr>
            <w:tcW w:w="713" w:type="pct"/>
            <w:tcBorders>
              <w:top w:val="nil"/>
              <w:left w:val="single" w:color="auto" w:sz="8" w:space="0"/>
              <w:bottom w:val="single" w:color="auto" w:sz="8" w:space="0"/>
              <w:right w:val="single" w:color="auto" w:sz="8" w:space="0"/>
            </w:tcBorders>
            <w:shd w:val="clear" w:color="auto" w:fill="auto"/>
            <w:noWrap/>
            <w:vAlign w:val="center"/>
          </w:tcPr>
          <w:p>
            <w:pPr>
              <w:widowControl/>
              <w:jc w:val="center"/>
              <w:rPr>
                <w:kern w:val="0"/>
                <w:szCs w:val="24"/>
              </w:rPr>
            </w:pPr>
            <w:r>
              <w:rPr>
                <w:rFonts w:hint="eastAsia"/>
                <w:kern w:val="0"/>
                <w:szCs w:val="24"/>
              </w:rPr>
              <w:t>2</w:t>
            </w:r>
          </w:p>
        </w:tc>
        <w:tc>
          <w:tcPr>
            <w:tcW w:w="806"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10321</w:t>
            </w:r>
          </w:p>
        </w:tc>
        <w:tc>
          <w:tcPr>
            <w:tcW w:w="91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底土平整</w:t>
            </w:r>
          </w:p>
        </w:tc>
        <w:tc>
          <w:tcPr>
            <w:tcW w:w="66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100m³</w:t>
            </w:r>
          </w:p>
        </w:tc>
        <w:tc>
          <w:tcPr>
            <w:tcW w:w="66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rFonts w:hint="eastAsia"/>
                <w:kern w:val="0"/>
                <w:szCs w:val="24"/>
              </w:rPr>
              <w:t>62.93</w:t>
            </w:r>
          </w:p>
        </w:tc>
        <w:tc>
          <w:tcPr>
            <w:tcW w:w="66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298.34</w:t>
            </w:r>
          </w:p>
        </w:tc>
        <w:tc>
          <w:tcPr>
            <w:tcW w:w="570"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rFonts w:hint="eastAsia"/>
                <w:kern w:val="0"/>
                <w:szCs w:val="24"/>
              </w:rPr>
              <w:t>18775</w:t>
            </w:r>
          </w:p>
        </w:tc>
      </w:tr>
      <w:tr>
        <w:tblPrEx>
          <w:tblCellMar>
            <w:top w:w="0" w:type="dxa"/>
            <w:left w:w="108" w:type="dxa"/>
            <w:bottom w:w="0" w:type="dxa"/>
            <w:right w:w="108" w:type="dxa"/>
          </w:tblCellMar>
        </w:tblPrEx>
        <w:trPr>
          <w:trHeight w:val="285" w:hRule="atLeast"/>
        </w:trPr>
        <w:tc>
          <w:tcPr>
            <w:tcW w:w="713" w:type="pct"/>
            <w:tcBorders>
              <w:top w:val="nil"/>
              <w:left w:val="single" w:color="auto" w:sz="8" w:space="0"/>
              <w:bottom w:val="single" w:color="auto" w:sz="8" w:space="0"/>
              <w:right w:val="single" w:color="auto" w:sz="8" w:space="0"/>
            </w:tcBorders>
            <w:shd w:val="clear" w:color="auto" w:fill="auto"/>
            <w:noWrap/>
            <w:vAlign w:val="center"/>
          </w:tcPr>
          <w:p>
            <w:pPr>
              <w:widowControl/>
              <w:jc w:val="center"/>
              <w:rPr>
                <w:kern w:val="0"/>
                <w:szCs w:val="24"/>
              </w:rPr>
            </w:pPr>
            <w:r>
              <w:rPr>
                <w:rFonts w:hint="eastAsia"/>
                <w:kern w:val="0"/>
                <w:szCs w:val="24"/>
              </w:rPr>
              <w:t>3</w:t>
            </w:r>
          </w:p>
        </w:tc>
        <w:tc>
          <w:tcPr>
            <w:tcW w:w="806"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2012、 10043</w:t>
            </w:r>
          </w:p>
        </w:tc>
        <w:tc>
          <w:tcPr>
            <w:tcW w:w="91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土地翻耕</w:t>
            </w:r>
          </w:p>
        </w:tc>
        <w:tc>
          <w:tcPr>
            <w:tcW w:w="66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100m³</w:t>
            </w:r>
          </w:p>
        </w:tc>
        <w:tc>
          <w:tcPr>
            <w:tcW w:w="66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rFonts w:hint="eastAsia"/>
                <w:kern w:val="0"/>
                <w:szCs w:val="24"/>
              </w:rPr>
              <w:t>2.9617</w:t>
            </w:r>
          </w:p>
        </w:tc>
        <w:tc>
          <w:tcPr>
            <w:tcW w:w="66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2609.54</w:t>
            </w:r>
          </w:p>
        </w:tc>
        <w:tc>
          <w:tcPr>
            <w:tcW w:w="570"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rFonts w:hint="eastAsia"/>
                <w:kern w:val="0"/>
                <w:szCs w:val="24"/>
              </w:rPr>
              <w:t>7729</w:t>
            </w:r>
          </w:p>
        </w:tc>
      </w:tr>
      <w:tr>
        <w:tblPrEx>
          <w:tblCellMar>
            <w:top w:w="0" w:type="dxa"/>
            <w:left w:w="108" w:type="dxa"/>
            <w:bottom w:w="0" w:type="dxa"/>
            <w:right w:w="108" w:type="dxa"/>
          </w:tblCellMar>
        </w:tblPrEx>
        <w:trPr>
          <w:trHeight w:val="285" w:hRule="atLeast"/>
        </w:trPr>
        <w:tc>
          <w:tcPr>
            <w:tcW w:w="713" w:type="pct"/>
            <w:tcBorders>
              <w:top w:val="nil"/>
              <w:left w:val="single" w:color="auto" w:sz="8" w:space="0"/>
              <w:bottom w:val="single" w:color="auto" w:sz="8" w:space="0"/>
              <w:right w:val="single" w:color="auto" w:sz="8" w:space="0"/>
            </w:tcBorders>
            <w:shd w:val="clear" w:color="auto" w:fill="auto"/>
            <w:noWrap/>
            <w:vAlign w:val="center"/>
          </w:tcPr>
          <w:p>
            <w:pPr>
              <w:widowControl/>
              <w:jc w:val="center"/>
              <w:rPr>
                <w:kern w:val="0"/>
                <w:szCs w:val="24"/>
              </w:rPr>
            </w:pPr>
            <w:r>
              <w:rPr>
                <w:rFonts w:hint="eastAsia"/>
                <w:kern w:val="0"/>
                <w:szCs w:val="24"/>
              </w:rPr>
              <w:t>4</w:t>
            </w:r>
          </w:p>
        </w:tc>
        <w:tc>
          <w:tcPr>
            <w:tcW w:w="806"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2012、90031</w:t>
            </w:r>
          </w:p>
        </w:tc>
        <w:tc>
          <w:tcPr>
            <w:tcW w:w="91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施绿肥</w:t>
            </w:r>
          </w:p>
        </w:tc>
        <w:tc>
          <w:tcPr>
            <w:tcW w:w="66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hm²</w:t>
            </w:r>
          </w:p>
        </w:tc>
        <w:tc>
          <w:tcPr>
            <w:tcW w:w="66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rFonts w:hint="eastAsia"/>
                <w:kern w:val="0"/>
                <w:szCs w:val="24"/>
              </w:rPr>
              <w:t>1.8298</w:t>
            </w:r>
          </w:p>
        </w:tc>
        <w:tc>
          <w:tcPr>
            <w:tcW w:w="66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rFonts w:hint="eastAsia"/>
                <w:kern w:val="0"/>
                <w:szCs w:val="24"/>
              </w:rPr>
              <w:t>1492.98</w:t>
            </w:r>
          </w:p>
        </w:tc>
        <w:tc>
          <w:tcPr>
            <w:tcW w:w="570"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rFonts w:hint="eastAsia"/>
                <w:kern w:val="0"/>
                <w:szCs w:val="24"/>
              </w:rPr>
              <w:t>2732</w:t>
            </w:r>
          </w:p>
        </w:tc>
      </w:tr>
      <w:tr>
        <w:tblPrEx>
          <w:tblCellMar>
            <w:top w:w="0" w:type="dxa"/>
            <w:left w:w="108" w:type="dxa"/>
            <w:bottom w:w="0" w:type="dxa"/>
            <w:right w:w="108" w:type="dxa"/>
          </w:tblCellMar>
        </w:tblPrEx>
        <w:trPr>
          <w:trHeight w:val="285" w:hRule="atLeast"/>
        </w:trPr>
        <w:tc>
          <w:tcPr>
            <w:tcW w:w="713" w:type="pct"/>
            <w:tcBorders>
              <w:top w:val="nil"/>
              <w:left w:val="single" w:color="auto" w:sz="8" w:space="0"/>
              <w:bottom w:val="single" w:color="auto" w:sz="8" w:space="0"/>
              <w:right w:val="single" w:color="auto" w:sz="8" w:space="0"/>
            </w:tcBorders>
            <w:shd w:val="clear" w:color="auto" w:fill="auto"/>
            <w:noWrap/>
            <w:vAlign w:val="center"/>
          </w:tcPr>
          <w:p>
            <w:pPr>
              <w:widowControl/>
              <w:jc w:val="center"/>
              <w:rPr>
                <w:kern w:val="0"/>
                <w:szCs w:val="24"/>
              </w:rPr>
            </w:pPr>
          </w:p>
        </w:tc>
        <w:tc>
          <w:tcPr>
            <w:tcW w:w="806"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p>
        </w:tc>
        <w:tc>
          <w:tcPr>
            <w:tcW w:w="91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施有机肥</w:t>
            </w:r>
          </w:p>
        </w:tc>
        <w:tc>
          <w:tcPr>
            <w:tcW w:w="66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hm²</w:t>
            </w:r>
          </w:p>
        </w:tc>
        <w:tc>
          <w:tcPr>
            <w:tcW w:w="66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rFonts w:hint="eastAsia"/>
                <w:kern w:val="0"/>
                <w:szCs w:val="24"/>
              </w:rPr>
              <w:t>1.2330</w:t>
            </w:r>
          </w:p>
        </w:tc>
        <w:tc>
          <w:tcPr>
            <w:tcW w:w="66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rFonts w:hint="eastAsia"/>
                <w:kern w:val="0"/>
                <w:szCs w:val="24"/>
              </w:rPr>
              <w:t>9758.30</w:t>
            </w:r>
          </w:p>
        </w:tc>
        <w:tc>
          <w:tcPr>
            <w:tcW w:w="570"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rFonts w:hint="eastAsia"/>
                <w:kern w:val="0"/>
                <w:szCs w:val="24"/>
              </w:rPr>
              <w:t>12032</w:t>
            </w:r>
          </w:p>
        </w:tc>
      </w:tr>
      <w:tr>
        <w:tblPrEx>
          <w:tblCellMar>
            <w:top w:w="0" w:type="dxa"/>
            <w:left w:w="108" w:type="dxa"/>
            <w:bottom w:w="0" w:type="dxa"/>
            <w:right w:w="108" w:type="dxa"/>
          </w:tblCellMar>
        </w:tblPrEx>
        <w:trPr>
          <w:trHeight w:val="285" w:hRule="atLeast"/>
        </w:trPr>
        <w:tc>
          <w:tcPr>
            <w:tcW w:w="713" w:type="pct"/>
            <w:tcBorders>
              <w:top w:val="nil"/>
              <w:left w:val="single" w:color="auto" w:sz="8" w:space="0"/>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二</w:t>
            </w:r>
          </w:p>
        </w:tc>
        <w:tc>
          <w:tcPr>
            <w:tcW w:w="806"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　</w:t>
            </w:r>
          </w:p>
        </w:tc>
        <w:tc>
          <w:tcPr>
            <w:tcW w:w="91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植被重建工程</w:t>
            </w:r>
          </w:p>
        </w:tc>
        <w:tc>
          <w:tcPr>
            <w:tcW w:w="66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　</w:t>
            </w:r>
          </w:p>
        </w:tc>
        <w:tc>
          <w:tcPr>
            <w:tcW w:w="66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p>
        </w:tc>
        <w:tc>
          <w:tcPr>
            <w:tcW w:w="66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　</w:t>
            </w:r>
          </w:p>
        </w:tc>
        <w:tc>
          <w:tcPr>
            <w:tcW w:w="570"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fldChar w:fldCharType="begin"/>
            </w:r>
            <w:r>
              <w:rPr>
                <w:kern w:val="0"/>
                <w:szCs w:val="24"/>
              </w:rPr>
              <w:instrText xml:space="preserve"> =SUM(ABOVE) </w:instrText>
            </w:r>
            <w:r>
              <w:rPr>
                <w:kern w:val="0"/>
                <w:szCs w:val="24"/>
              </w:rPr>
              <w:fldChar w:fldCharType="separate"/>
            </w:r>
            <w:r>
              <w:rPr>
                <w:kern w:val="0"/>
                <w:szCs w:val="24"/>
              </w:rPr>
              <w:t>46303</w:t>
            </w:r>
            <w:r>
              <w:rPr>
                <w:kern w:val="0"/>
                <w:szCs w:val="24"/>
              </w:rPr>
              <w:fldChar w:fldCharType="end"/>
            </w:r>
          </w:p>
        </w:tc>
      </w:tr>
      <w:tr>
        <w:tblPrEx>
          <w:tblCellMar>
            <w:top w:w="0" w:type="dxa"/>
            <w:left w:w="108" w:type="dxa"/>
            <w:bottom w:w="0" w:type="dxa"/>
            <w:right w:w="108" w:type="dxa"/>
          </w:tblCellMar>
        </w:tblPrEx>
        <w:trPr>
          <w:trHeight w:val="285" w:hRule="atLeast"/>
        </w:trPr>
        <w:tc>
          <w:tcPr>
            <w:tcW w:w="713" w:type="pct"/>
            <w:tcBorders>
              <w:top w:val="nil"/>
              <w:left w:val="single" w:color="auto" w:sz="8" w:space="0"/>
              <w:bottom w:val="single" w:color="auto" w:sz="8" w:space="0"/>
              <w:right w:val="single" w:color="auto" w:sz="8" w:space="0"/>
            </w:tcBorders>
            <w:shd w:val="clear" w:color="auto" w:fill="auto"/>
            <w:noWrap/>
            <w:vAlign w:val="center"/>
          </w:tcPr>
          <w:p>
            <w:pPr>
              <w:widowControl/>
              <w:jc w:val="center"/>
              <w:rPr>
                <w:kern w:val="0"/>
                <w:szCs w:val="24"/>
              </w:rPr>
            </w:pPr>
            <w:r>
              <w:rPr>
                <w:rFonts w:hint="eastAsia"/>
                <w:kern w:val="0"/>
                <w:szCs w:val="24"/>
              </w:rPr>
              <w:t>1</w:t>
            </w:r>
          </w:p>
        </w:tc>
        <w:tc>
          <w:tcPr>
            <w:tcW w:w="806"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90031</w:t>
            </w:r>
          </w:p>
        </w:tc>
        <w:tc>
          <w:tcPr>
            <w:tcW w:w="91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撒播种草</w:t>
            </w:r>
          </w:p>
        </w:tc>
        <w:tc>
          <w:tcPr>
            <w:tcW w:w="66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hm²</w:t>
            </w:r>
          </w:p>
        </w:tc>
        <w:tc>
          <w:tcPr>
            <w:tcW w:w="66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rFonts w:hint="eastAsia"/>
                <w:kern w:val="0"/>
                <w:szCs w:val="24"/>
              </w:rPr>
              <w:t>1.8298</w:t>
            </w:r>
          </w:p>
        </w:tc>
        <w:tc>
          <w:tcPr>
            <w:tcW w:w="66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rFonts w:hint="eastAsia"/>
                <w:kern w:val="0"/>
                <w:szCs w:val="24"/>
              </w:rPr>
              <w:t>3611</w:t>
            </w:r>
          </w:p>
        </w:tc>
        <w:tc>
          <w:tcPr>
            <w:tcW w:w="570"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rFonts w:hint="eastAsia"/>
                <w:kern w:val="0"/>
                <w:szCs w:val="24"/>
              </w:rPr>
              <w:t>6607</w:t>
            </w:r>
          </w:p>
        </w:tc>
      </w:tr>
      <w:tr>
        <w:tblPrEx>
          <w:tblCellMar>
            <w:top w:w="0" w:type="dxa"/>
            <w:left w:w="108" w:type="dxa"/>
            <w:bottom w:w="0" w:type="dxa"/>
            <w:right w:w="108" w:type="dxa"/>
          </w:tblCellMar>
        </w:tblPrEx>
        <w:trPr>
          <w:trHeight w:val="285" w:hRule="atLeast"/>
        </w:trPr>
        <w:tc>
          <w:tcPr>
            <w:tcW w:w="713" w:type="pct"/>
            <w:tcBorders>
              <w:top w:val="nil"/>
              <w:left w:val="single" w:color="auto" w:sz="8" w:space="0"/>
              <w:bottom w:val="single" w:color="auto" w:sz="8" w:space="0"/>
              <w:right w:val="single" w:color="auto" w:sz="8" w:space="0"/>
            </w:tcBorders>
            <w:shd w:val="clear" w:color="auto" w:fill="auto"/>
            <w:noWrap/>
            <w:vAlign w:val="center"/>
          </w:tcPr>
          <w:p>
            <w:pPr>
              <w:widowControl/>
              <w:jc w:val="center"/>
              <w:rPr>
                <w:kern w:val="0"/>
                <w:szCs w:val="24"/>
              </w:rPr>
            </w:pPr>
            <w:r>
              <w:rPr>
                <w:rFonts w:hint="eastAsia"/>
                <w:kern w:val="0"/>
                <w:szCs w:val="24"/>
              </w:rPr>
              <w:t>2</w:t>
            </w:r>
          </w:p>
        </w:tc>
        <w:tc>
          <w:tcPr>
            <w:tcW w:w="806" w:type="pct"/>
            <w:tcBorders>
              <w:top w:val="nil"/>
              <w:left w:val="nil"/>
              <w:bottom w:val="nil"/>
              <w:right w:val="single" w:color="auto" w:sz="8" w:space="0"/>
            </w:tcBorders>
            <w:shd w:val="clear" w:color="auto" w:fill="auto"/>
            <w:noWrap/>
            <w:vAlign w:val="center"/>
          </w:tcPr>
          <w:p>
            <w:pPr>
              <w:widowControl/>
              <w:jc w:val="center"/>
              <w:rPr>
                <w:kern w:val="0"/>
                <w:szCs w:val="24"/>
              </w:rPr>
            </w:pPr>
            <w:r>
              <w:rPr>
                <w:kern w:val="0"/>
                <w:szCs w:val="24"/>
              </w:rPr>
              <w:t>90018</w:t>
            </w:r>
          </w:p>
        </w:tc>
        <w:tc>
          <w:tcPr>
            <w:tcW w:w="91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植爬山虎</w:t>
            </w:r>
          </w:p>
        </w:tc>
        <w:tc>
          <w:tcPr>
            <w:tcW w:w="66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100株</w:t>
            </w:r>
          </w:p>
        </w:tc>
        <w:tc>
          <w:tcPr>
            <w:tcW w:w="66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rFonts w:hint="eastAsia"/>
                <w:kern w:val="0"/>
                <w:szCs w:val="24"/>
              </w:rPr>
              <w:t>55.67</w:t>
            </w:r>
          </w:p>
        </w:tc>
        <w:tc>
          <w:tcPr>
            <w:tcW w:w="66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rFonts w:hint="eastAsia"/>
                <w:kern w:val="0"/>
                <w:szCs w:val="24"/>
              </w:rPr>
              <w:t>405.18</w:t>
            </w:r>
          </w:p>
        </w:tc>
        <w:tc>
          <w:tcPr>
            <w:tcW w:w="570"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rFonts w:hint="eastAsia"/>
                <w:kern w:val="0"/>
                <w:szCs w:val="24"/>
              </w:rPr>
              <w:t>22556</w:t>
            </w:r>
          </w:p>
        </w:tc>
      </w:tr>
      <w:tr>
        <w:tblPrEx>
          <w:tblCellMar>
            <w:top w:w="0" w:type="dxa"/>
            <w:left w:w="108" w:type="dxa"/>
            <w:bottom w:w="0" w:type="dxa"/>
            <w:right w:w="108" w:type="dxa"/>
          </w:tblCellMar>
        </w:tblPrEx>
        <w:trPr>
          <w:trHeight w:val="285" w:hRule="atLeast"/>
        </w:trPr>
        <w:tc>
          <w:tcPr>
            <w:tcW w:w="713" w:type="pct"/>
            <w:tcBorders>
              <w:top w:val="nil"/>
              <w:left w:val="single" w:color="auto" w:sz="8" w:space="0"/>
              <w:bottom w:val="single" w:color="auto" w:sz="8" w:space="0"/>
              <w:right w:val="single" w:color="auto" w:sz="8" w:space="0"/>
            </w:tcBorders>
            <w:shd w:val="clear" w:color="auto" w:fill="auto"/>
            <w:noWrap/>
            <w:vAlign w:val="center"/>
          </w:tcPr>
          <w:p>
            <w:pPr>
              <w:widowControl/>
              <w:jc w:val="center"/>
              <w:rPr>
                <w:kern w:val="0"/>
                <w:szCs w:val="24"/>
              </w:rPr>
            </w:pPr>
            <w:r>
              <w:rPr>
                <w:rFonts w:hint="eastAsia"/>
                <w:kern w:val="0"/>
                <w:szCs w:val="24"/>
              </w:rPr>
              <w:t>3</w:t>
            </w:r>
          </w:p>
        </w:tc>
        <w:tc>
          <w:tcPr>
            <w:tcW w:w="806"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90011</w:t>
            </w:r>
          </w:p>
        </w:tc>
        <w:tc>
          <w:tcPr>
            <w:tcW w:w="91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植乔木（油松）</w:t>
            </w:r>
          </w:p>
        </w:tc>
        <w:tc>
          <w:tcPr>
            <w:tcW w:w="66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100株</w:t>
            </w:r>
          </w:p>
        </w:tc>
        <w:tc>
          <w:tcPr>
            <w:tcW w:w="66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rFonts w:hint="eastAsia"/>
                <w:kern w:val="0"/>
                <w:szCs w:val="24"/>
              </w:rPr>
              <w:t>6.71</w:t>
            </w:r>
          </w:p>
        </w:tc>
        <w:tc>
          <w:tcPr>
            <w:tcW w:w="66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2554.43</w:t>
            </w:r>
          </w:p>
        </w:tc>
        <w:tc>
          <w:tcPr>
            <w:tcW w:w="570"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rFonts w:hint="eastAsia"/>
                <w:kern w:val="0"/>
                <w:szCs w:val="24"/>
              </w:rPr>
              <w:t>17140</w:t>
            </w:r>
          </w:p>
        </w:tc>
      </w:tr>
      <w:tr>
        <w:tblPrEx>
          <w:tblCellMar>
            <w:top w:w="0" w:type="dxa"/>
            <w:left w:w="108" w:type="dxa"/>
            <w:bottom w:w="0" w:type="dxa"/>
            <w:right w:w="108" w:type="dxa"/>
          </w:tblCellMar>
        </w:tblPrEx>
        <w:trPr>
          <w:trHeight w:val="285" w:hRule="atLeast"/>
        </w:trPr>
        <w:tc>
          <w:tcPr>
            <w:tcW w:w="713" w:type="pct"/>
            <w:tcBorders>
              <w:top w:val="nil"/>
              <w:left w:val="single" w:color="auto" w:sz="8" w:space="0"/>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三</w:t>
            </w:r>
          </w:p>
        </w:tc>
        <w:tc>
          <w:tcPr>
            <w:tcW w:w="806"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p>
        </w:tc>
        <w:tc>
          <w:tcPr>
            <w:tcW w:w="91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河道</w:t>
            </w:r>
            <w:r>
              <w:rPr>
                <w:rFonts w:hint="eastAsia"/>
                <w:kern w:val="0"/>
                <w:szCs w:val="24"/>
              </w:rPr>
              <w:t>治理</w:t>
            </w:r>
            <w:r>
              <w:rPr>
                <w:kern w:val="0"/>
                <w:szCs w:val="24"/>
              </w:rPr>
              <w:t>工程</w:t>
            </w:r>
          </w:p>
        </w:tc>
        <w:tc>
          <w:tcPr>
            <w:tcW w:w="66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p>
        </w:tc>
        <w:tc>
          <w:tcPr>
            <w:tcW w:w="66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p>
        </w:tc>
        <w:tc>
          <w:tcPr>
            <w:tcW w:w="66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p>
        </w:tc>
        <w:tc>
          <w:tcPr>
            <w:tcW w:w="570"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fldChar w:fldCharType="begin"/>
            </w:r>
            <w:r>
              <w:rPr>
                <w:kern w:val="0"/>
                <w:szCs w:val="24"/>
              </w:rPr>
              <w:instrText xml:space="preserve"> =SUM(ABOVE) </w:instrText>
            </w:r>
            <w:r>
              <w:rPr>
                <w:kern w:val="0"/>
                <w:szCs w:val="24"/>
              </w:rPr>
              <w:fldChar w:fldCharType="separate"/>
            </w:r>
            <w:r>
              <w:rPr>
                <w:kern w:val="0"/>
                <w:szCs w:val="24"/>
              </w:rPr>
              <w:t>245916</w:t>
            </w:r>
            <w:r>
              <w:rPr>
                <w:kern w:val="0"/>
                <w:szCs w:val="24"/>
              </w:rPr>
              <w:fldChar w:fldCharType="end"/>
            </w:r>
          </w:p>
        </w:tc>
      </w:tr>
      <w:tr>
        <w:tblPrEx>
          <w:tblCellMar>
            <w:top w:w="0" w:type="dxa"/>
            <w:left w:w="108" w:type="dxa"/>
            <w:bottom w:w="0" w:type="dxa"/>
            <w:right w:w="108" w:type="dxa"/>
          </w:tblCellMar>
        </w:tblPrEx>
        <w:trPr>
          <w:trHeight w:val="285" w:hRule="atLeast"/>
        </w:trPr>
        <w:tc>
          <w:tcPr>
            <w:tcW w:w="713" w:type="pct"/>
            <w:tcBorders>
              <w:top w:val="nil"/>
              <w:left w:val="single" w:color="auto" w:sz="8" w:space="0"/>
              <w:bottom w:val="single" w:color="auto" w:sz="8" w:space="0"/>
              <w:right w:val="single" w:color="auto" w:sz="8" w:space="0"/>
            </w:tcBorders>
            <w:shd w:val="clear" w:color="auto" w:fill="auto"/>
            <w:noWrap/>
            <w:vAlign w:val="center"/>
          </w:tcPr>
          <w:p>
            <w:pPr>
              <w:widowControl/>
              <w:jc w:val="center"/>
              <w:rPr>
                <w:kern w:val="0"/>
                <w:szCs w:val="24"/>
              </w:rPr>
            </w:pPr>
            <w:r>
              <w:rPr>
                <w:rFonts w:hint="eastAsia"/>
                <w:kern w:val="0"/>
                <w:szCs w:val="24"/>
              </w:rPr>
              <w:t>1</w:t>
            </w:r>
          </w:p>
        </w:tc>
        <w:tc>
          <w:tcPr>
            <w:tcW w:w="806"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参照</w:t>
            </w:r>
            <w:r>
              <w:rPr>
                <w:rFonts w:hint="eastAsia"/>
                <w:kern w:val="0"/>
                <w:szCs w:val="24"/>
              </w:rPr>
              <w:t>20286</w:t>
            </w:r>
          </w:p>
        </w:tc>
        <w:tc>
          <w:tcPr>
            <w:tcW w:w="91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rFonts w:hint="eastAsia"/>
                <w:kern w:val="0"/>
                <w:szCs w:val="24"/>
              </w:rPr>
              <w:t>清理</w:t>
            </w:r>
          </w:p>
        </w:tc>
        <w:tc>
          <w:tcPr>
            <w:tcW w:w="66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100m³</w:t>
            </w:r>
          </w:p>
        </w:tc>
        <w:tc>
          <w:tcPr>
            <w:tcW w:w="66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rFonts w:hint="eastAsia"/>
                <w:kern w:val="0"/>
                <w:szCs w:val="24"/>
              </w:rPr>
              <w:t>24.49</w:t>
            </w:r>
          </w:p>
        </w:tc>
        <w:tc>
          <w:tcPr>
            <w:tcW w:w="66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rFonts w:hint="eastAsia"/>
                <w:kern w:val="0"/>
                <w:szCs w:val="24"/>
              </w:rPr>
              <w:t>2543</w:t>
            </w:r>
          </w:p>
        </w:tc>
        <w:tc>
          <w:tcPr>
            <w:tcW w:w="570"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rFonts w:hint="eastAsia"/>
                <w:kern w:val="0"/>
                <w:szCs w:val="24"/>
              </w:rPr>
              <w:t>62278</w:t>
            </w:r>
          </w:p>
        </w:tc>
      </w:tr>
      <w:tr>
        <w:tblPrEx>
          <w:tblCellMar>
            <w:top w:w="0" w:type="dxa"/>
            <w:left w:w="108" w:type="dxa"/>
            <w:bottom w:w="0" w:type="dxa"/>
            <w:right w:w="108" w:type="dxa"/>
          </w:tblCellMar>
        </w:tblPrEx>
        <w:trPr>
          <w:trHeight w:val="285" w:hRule="atLeast"/>
        </w:trPr>
        <w:tc>
          <w:tcPr>
            <w:tcW w:w="713" w:type="pct"/>
            <w:tcBorders>
              <w:top w:val="nil"/>
              <w:left w:val="single" w:color="auto" w:sz="8" w:space="0"/>
              <w:bottom w:val="single" w:color="auto" w:sz="8" w:space="0"/>
              <w:right w:val="single" w:color="auto" w:sz="8" w:space="0"/>
            </w:tcBorders>
            <w:shd w:val="clear" w:color="auto" w:fill="auto"/>
            <w:noWrap/>
            <w:vAlign w:val="center"/>
          </w:tcPr>
          <w:p>
            <w:pPr>
              <w:widowControl/>
              <w:jc w:val="center"/>
              <w:rPr>
                <w:kern w:val="0"/>
                <w:szCs w:val="24"/>
              </w:rPr>
            </w:pPr>
            <w:r>
              <w:rPr>
                <w:rFonts w:hint="eastAsia"/>
                <w:kern w:val="0"/>
                <w:szCs w:val="24"/>
              </w:rPr>
              <w:t>2</w:t>
            </w:r>
          </w:p>
        </w:tc>
        <w:tc>
          <w:tcPr>
            <w:tcW w:w="806"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rFonts w:hint="eastAsia"/>
                <w:kern w:val="0"/>
                <w:szCs w:val="24"/>
              </w:rPr>
              <w:t>07015</w:t>
            </w:r>
          </w:p>
        </w:tc>
        <w:tc>
          <w:tcPr>
            <w:tcW w:w="91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rFonts w:hint="eastAsia"/>
                <w:kern w:val="0"/>
                <w:szCs w:val="24"/>
              </w:rPr>
              <w:t>卵石压盖</w:t>
            </w:r>
          </w:p>
        </w:tc>
        <w:tc>
          <w:tcPr>
            <w:tcW w:w="66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m²</w:t>
            </w:r>
          </w:p>
        </w:tc>
        <w:tc>
          <w:tcPr>
            <w:tcW w:w="66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rFonts w:hint="eastAsia"/>
                <w:kern w:val="0"/>
                <w:szCs w:val="24"/>
              </w:rPr>
              <w:t>4897</w:t>
            </w:r>
          </w:p>
        </w:tc>
        <w:tc>
          <w:tcPr>
            <w:tcW w:w="66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rFonts w:hint="eastAsia"/>
                <w:kern w:val="0"/>
                <w:szCs w:val="24"/>
              </w:rPr>
              <w:t>37.50</w:t>
            </w:r>
          </w:p>
        </w:tc>
        <w:tc>
          <w:tcPr>
            <w:tcW w:w="570"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rFonts w:hint="eastAsia"/>
                <w:kern w:val="0"/>
                <w:szCs w:val="24"/>
              </w:rPr>
              <w:t>183638</w:t>
            </w:r>
          </w:p>
        </w:tc>
      </w:tr>
      <w:tr>
        <w:tblPrEx>
          <w:tblCellMar>
            <w:top w:w="0" w:type="dxa"/>
            <w:left w:w="108" w:type="dxa"/>
            <w:bottom w:w="0" w:type="dxa"/>
            <w:right w:w="108" w:type="dxa"/>
          </w:tblCellMar>
        </w:tblPrEx>
        <w:trPr>
          <w:trHeight w:val="285" w:hRule="atLeast"/>
        </w:trPr>
        <w:tc>
          <w:tcPr>
            <w:tcW w:w="713" w:type="pct"/>
            <w:tcBorders>
              <w:top w:val="nil"/>
              <w:left w:val="single" w:color="auto" w:sz="8" w:space="0"/>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　</w:t>
            </w:r>
          </w:p>
        </w:tc>
        <w:tc>
          <w:tcPr>
            <w:tcW w:w="806"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　</w:t>
            </w:r>
          </w:p>
        </w:tc>
        <w:tc>
          <w:tcPr>
            <w:tcW w:w="91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合计</w:t>
            </w:r>
          </w:p>
        </w:tc>
        <w:tc>
          <w:tcPr>
            <w:tcW w:w="66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　</w:t>
            </w:r>
          </w:p>
        </w:tc>
        <w:tc>
          <w:tcPr>
            <w:tcW w:w="66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kern w:val="0"/>
                <w:szCs w:val="24"/>
              </w:rPr>
              <w:t>　</w:t>
            </w:r>
          </w:p>
        </w:tc>
        <w:tc>
          <w:tcPr>
            <w:tcW w:w="665"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p>
        </w:tc>
        <w:tc>
          <w:tcPr>
            <w:tcW w:w="570" w:type="pct"/>
            <w:tcBorders>
              <w:top w:val="nil"/>
              <w:left w:val="nil"/>
              <w:bottom w:val="single" w:color="auto" w:sz="8" w:space="0"/>
              <w:right w:val="single" w:color="auto" w:sz="8" w:space="0"/>
            </w:tcBorders>
            <w:shd w:val="clear" w:color="auto" w:fill="auto"/>
            <w:noWrap/>
            <w:vAlign w:val="center"/>
          </w:tcPr>
          <w:p>
            <w:pPr>
              <w:widowControl/>
              <w:jc w:val="center"/>
              <w:rPr>
                <w:kern w:val="0"/>
                <w:szCs w:val="24"/>
              </w:rPr>
            </w:pPr>
            <w:r>
              <w:rPr>
                <w:rFonts w:hint="eastAsia"/>
                <w:kern w:val="0"/>
                <w:szCs w:val="24"/>
              </w:rPr>
              <w:t>510741</w:t>
            </w:r>
          </w:p>
        </w:tc>
      </w:tr>
    </w:tbl>
    <w:p>
      <w:pPr>
        <w:pStyle w:val="41"/>
        <w:numPr>
          <w:ilvl w:val="0"/>
          <w:numId w:val="0"/>
        </w:numPr>
        <w:spacing w:line="560" w:lineRule="exact"/>
        <w:rPr>
          <w:rFonts w:ascii="Times New Roman" w:eastAsia="宋体"/>
          <w:bCs/>
          <w:sz w:val="24"/>
          <w:szCs w:val="24"/>
        </w:rPr>
      </w:pPr>
      <w:r>
        <w:rPr>
          <w:rFonts w:ascii="Times New Roman" w:eastAsia="宋体"/>
          <w:bCs/>
          <w:sz w:val="24"/>
          <w:szCs w:val="24"/>
        </w:rPr>
        <w:t>矿山复垦费用估算表             表</w:t>
      </w:r>
      <w:r>
        <w:rPr>
          <w:rFonts w:hint="eastAsia" w:ascii="Times New Roman" w:eastAsia="宋体"/>
          <w:bCs/>
          <w:sz w:val="24"/>
          <w:szCs w:val="24"/>
        </w:rPr>
        <w:t>6-15</w:t>
      </w:r>
    </w:p>
    <w:p>
      <w:pPr>
        <w:snapToGrid w:val="0"/>
        <w:spacing w:line="340" w:lineRule="exact"/>
        <w:jc w:val="right"/>
        <w:rPr>
          <w:kern w:val="0"/>
          <w:szCs w:val="24"/>
        </w:rPr>
      </w:pPr>
      <w:r>
        <w:rPr>
          <w:kern w:val="0"/>
          <w:szCs w:val="24"/>
        </w:rPr>
        <w:t>金额单位：万元</w:t>
      </w:r>
    </w:p>
    <w:tbl>
      <w:tblPr>
        <w:tblStyle w:val="21"/>
        <w:tblW w:w="9136" w:type="dxa"/>
        <w:jc w:val="center"/>
        <w:tblLayout w:type="autofit"/>
        <w:tblCellMar>
          <w:top w:w="0" w:type="dxa"/>
          <w:left w:w="108" w:type="dxa"/>
          <w:bottom w:w="0" w:type="dxa"/>
          <w:right w:w="108" w:type="dxa"/>
        </w:tblCellMar>
      </w:tblPr>
      <w:tblGrid>
        <w:gridCol w:w="1018"/>
        <w:gridCol w:w="3440"/>
        <w:gridCol w:w="1873"/>
        <w:gridCol w:w="2805"/>
      </w:tblGrid>
      <w:tr>
        <w:tblPrEx>
          <w:tblCellMar>
            <w:top w:w="0" w:type="dxa"/>
            <w:left w:w="108" w:type="dxa"/>
            <w:bottom w:w="0" w:type="dxa"/>
            <w:right w:w="108" w:type="dxa"/>
          </w:tblCellMar>
        </w:tblPrEx>
        <w:trPr>
          <w:trHeight w:val="227" w:hRule="atLeast"/>
          <w:jc w:val="center"/>
        </w:trPr>
        <w:tc>
          <w:tcPr>
            <w:tcW w:w="1018" w:type="dxa"/>
            <w:vMerge w:val="restart"/>
            <w:tcBorders>
              <w:top w:val="single" w:color="auto" w:sz="4" w:space="0"/>
              <w:left w:val="single" w:color="auto" w:sz="4" w:space="0"/>
              <w:bottom w:val="single" w:color="000000" w:sz="4" w:space="0"/>
              <w:right w:val="single" w:color="auto" w:sz="4" w:space="0"/>
            </w:tcBorders>
            <w:shd w:val="clear" w:color="auto" w:fill="auto"/>
            <w:noWrap/>
            <w:vAlign w:val="center"/>
          </w:tcPr>
          <w:p>
            <w:pPr>
              <w:widowControl/>
              <w:spacing w:line="240" w:lineRule="exact"/>
              <w:jc w:val="center"/>
              <w:rPr>
                <w:kern w:val="0"/>
                <w:szCs w:val="24"/>
              </w:rPr>
            </w:pPr>
            <w:r>
              <w:rPr>
                <w:kern w:val="0"/>
                <w:szCs w:val="24"/>
              </w:rPr>
              <w:t>序号</w:t>
            </w:r>
          </w:p>
        </w:tc>
        <w:tc>
          <w:tcPr>
            <w:tcW w:w="3440" w:type="dxa"/>
            <w:tcBorders>
              <w:top w:val="single" w:color="auto" w:sz="4" w:space="0"/>
              <w:left w:val="nil"/>
              <w:bottom w:val="single" w:color="auto" w:sz="4" w:space="0"/>
              <w:right w:val="single" w:color="auto" w:sz="4" w:space="0"/>
            </w:tcBorders>
            <w:shd w:val="clear" w:color="auto" w:fill="auto"/>
            <w:noWrap/>
            <w:vAlign w:val="center"/>
          </w:tcPr>
          <w:p>
            <w:pPr>
              <w:widowControl/>
              <w:spacing w:line="240" w:lineRule="exact"/>
              <w:jc w:val="center"/>
              <w:rPr>
                <w:kern w:val="0"/>
                <w:szCs w:val="24"/>
              </w:rPr>
            </w:pPr>
            <w:r>
              <w:rPr>
                <w:kern w:val="0"/>
                <w:szCs w:val="24"/>
              </w:rPr>
              <w:t>工程或费用名称</w:t>
            </w:r>
          </w:p>
        </w:tc>
        <w:tc>
          <w:tcPr>
            <w:tcW w:w="1873" w:type="dxa"/>
            <w:tcBorders>
              <w:top w:val="single" w:color="auto" w:sz="4" w:space="0"/>
              <w:left w:val="nil"/>
              <w:bottom w:val="single" w:color="auto" w:sz="4" w:space="0"/>
              <w:right w:val="single" w:color="000000" w:sz="4" w:space="0"/>
            </w:tcBorders>
            <w:shd w:val="clear" w:color="auto" w:fill="auto"/>
            <w:vAlign w:val="center"/>
          </w:tcPr>
          <w:p>
            <w:pPr>
              <w:widowControl/>
              <w:spacing w:line="240" w:lineRule="exact"/>
              <w:jc w:val="center"/>
              <w:rPr>
                <w:kern w:val="0"/>
                <w:szCs w:val="24"/>
              </w:rPr>
            </w:pPr>
            <w:r>
              <w:rPr>
                <w:kern w:val="0"/>
                <w:szCs w:val="24"/>
              </w:rPr>
              <w:t>预算金额</w:t>
            </w:r>
          </w:p>
        </w:tc>
        <w:tc>
          <w:tcPr>
            <w:tcW w:w="280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center"/>
              <w:rPr>
                <w:kern w:val="0"/>
                <w:szCs w:val="24"/>
              </w:rPr>
            </w:pPr>
            <w:r>
              <w:rPr>
                <w:kern w:val="0"/>
                <w:szCs w:val="24"/>
              </w:rPr>
              <w:t>各项费用占总费用的比例(%)</w:t>
            </w:r>
          </w:p>
        </w:tc>
      </w:tr>
      <w:tr>
        <w:tblPrEx>
          <w:tblCellMar>
            <w:top w:w="0" w:type="dxa"/>
            <w:left w:w="108" w:type="dxa"/>
            <w:bottom w:w="0" w:type="dxa"/>
            <w:right w:w="108" w:type="dxa"/>
          </w:tblCellMar>
        </w:tblPrEx>
        <w:trPr>
          <w:trHeight w:val="227" w:hRule="atLeast"/>
          <w:jc w:val="center"/>
        </w:trPr>
        <w:tc>
          <w:tcPr>
            <w:tcW w:w="1018" w:type="dxa"/>
            <w:vMerge w:val="continue"/>
            <w:tcBorders>
              <w:top w:val="single" w:color="auto" w:sz="4" w:space="0"/>
              <w:left w:val="single" w:color="auto" w:sz="4" w:space="0"/>
              <w:bottom w:val="single" w:color="000000" w:sz="4" w:space="0"/>
              <w:right w:val="single" w:color="auto" w:sz="4" w:space="0"/>
            </w:tcBorders>
            <w:vAlign w:val="center"/>
          </w:tcPr>
          <w:p>
            <w:pPr>
              <w:widowControl/>
              <w:spacing w:line="240" w:lineRule="exact"/>
              <w:jc w:val="center"/>
              <w:rPr>
                <w:kern w:val="0"/>
                <w:szCs w:val="24"/>
              </w:rPr>
            </w:pPr>
          </w:p>
        </w:tc>
        <w:tc>
          <w:tcPr>
            <w:tcW w:w="3440" w:type="dxa"/>
            <w:tcBorders>
              <w:top w:val="nil"/>
              <w:left w:val="nil"/>
              <w:bottom w:val="single" w:color="auto" w:sz="4" w:space="0"/>
              <w:right w:val="single" w:color="auto" w:sz="4" w:space="0"/>
            </w:tcBorders>
            <w:shd w:val="clear" w:color="auto" w:fill="auto"/>
            <w:noWrap/>
            <w:vAlign w:val="center"/>
          </w:tcPr>
          <w:p>
            <w:pPr>
              <w:widowControl/>
              <w:spacing w:line="240" w:lineRule="exact"/>
              <w:jc w:val="center"/>
              <w:rPr>
                <w:kern w:val="0"/>
                <w:szCs w:val="24"/>
              </w:rPr>
            </w:pPr>
            <w:r>
              <w:rPr>
                <w:kern w:val="0"/>
                <w:szCs w:val="24"/>
              </w:rPr>
              <w:t>⑴</w:t>
            </w:r>
          </w:p>
        </w:tc>
        <w:tc>
          <w:tcPr>
            <w:tcW w:w="1873" w:type="dxa"/>
            <w:tcBorders>
              <w:top w:val="single" w:color="auto" w:sz="4" w:space="0"/>
              <w:left w:val="nil"/>
              <w:bottom w:val="single" w:color="auto" w:sz="4" w:space="0"/>
              <w:right w:val="single" w:color="000000" w:sz="4" w:space="0"/>
            </w:tcBorders>
            <w:shd w:val="clear" w:color="auto" w:fill="auto"/>
            <w:noWrap/>
            <w:vAlign w:val="center"/>
          </w:tcPr>
          <w:p>
            <w:pPr>
              <w:widowControl/>
              <w:spacing w:line="240" w:lineRule="exact"/>
              <w:jc w:val="center"/>
              <w:rPr>
                <w:kern w:val="0"/>
                <w:szCs w:val="24"/>
              </w:rPr>
            </w:pPr>
            <w:r>
              <w:rPr>
                <w:kern w:val="0"/>
                <w:szCs w:val="24"/>
              </w:rPr>
              <w:t>⑵</w:t>
            </w:r>
          </w:p>
        </w:tc>
        <w:tc>
          <w:tcPr>
            <w:tcW w:w="2805" w:type="dxa"/>
            <w:tcBorders>
              <w:top w:val="nil"/>
              <w:left w:val="nil"/>
              <w:bottom w:val="single" w:color="auto" w:sz="4" w:space="0"/>
              <w:right w:val="single" w:color="auto" w:sz="4" w:space="0"/>
            </w:tcBorders>
            <w:shd w:val="clear" w:color="auto" w:fill="auto"/>
            <w:noWrap/>
            <w:vAlign w:val="center"/>
          </w:tcPr>
          <w:p>
            <w:pPr>
              <w:widowControl/>
              <w:spacing w:line="240" w:lineRule="exact"/>
              <w:jc w:val="center"/>
              <w:rPr>
                <w:kern w:val="0"/>
                <w:szCs w:val="24"/>
              </w:rPr>
            </w:pPr>
            <w:r>
              <w:rPr>
                <w:kern w:val="0"/>
                <w:szCs w:val="24"/>
              </w:rPr>
              <w:t>⑶</w:t>
            </w:r>
          </w:p>
        </w:tc>
      </w:tr>
      <w:tr>
        <w:tblPrEx>
          <w:tblCellMar>
            <w:top w:w="0" w:type="dxa"/>
            <w:left w:w="108" w:type="dxa"/>
            <w:bottom w:w="0" w:type="dxa"/>
            <w:right w:w="108" w:type="dxa"/>
          </w:tblCellMar>
        </w:tblPrEx>
        <w:trPr>
          <w:trHeight w:val="340" w:hRule="atLeast"/>
          <w:jc w:val="center"/>
        </w:trPr>
        <w:tc>
          <w:tcPr>
            <w:tcW w:w="1018"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exact"/>
              <w:jc w:val="center"/>
              <w:rPr>
                <w:kern w:val="0"/>
                <w:szCs w:val="24"/>
              </w:rPr>
            </w:pPr>
            <w:r>
              <w:rPr>
                <w:kern w:val="0"/>
                <w:szCs w:val="24"/>
              </w:rPr>
              <w:t>一</w:t>
            </w:r>
          </w:p>
        </w:tc>
        <w:tc>
          <w:tcPr>
            <w:tcW w:w="3440" w:type="dxa"/>
            <w:tcBorders>
              <w:top w:val="nil"/>
              <w:left w:val="nil"/>
              <w:bottom w:val="single" w:color="auto" w:sz="4" w:space="0"/>
              <w:right w:val="single" w:color="auto" w:sz="4" w:space="0"/>
            </w:tcBorders>
            <w:shd w:val="clear" w:color="auto" w:fill="auto"/>
            <w:noWrap/>
            <w:vAlign w:val="center"/>
          </w:tcPr>
          <w:p>
            <w:pPr>
              <w:widowControl/>
              <w:spacing w:line="240" w:lineRule="exact"/>
              <w:jc w:val="center"/>
              <w:rPr>
                <w:kern w:val="0"/>
                <w:szCs w:val="24"/>
              </w:rPr>
            </w:pPr>
            <w:r>
              <w:rPr>
                <w:kern w:val="0"/>
                <w:szCs w:val="24"/>
              </w:rPr>
              <w:t>工程施工费</w:t>
            </w:r>
          </w:p>
        </w:tc>
        <w:tc>
          <w:tcPr>
            <w:tcW w:w="1873" w:type="dxa"/>
            <w:tcBorders>
              <w:top w:val="nil"/>
              <w:left w:val="nil"/>
              <w:bottom w:val="single" w:color="auto" w:sz="4" w:space="0"/>
              <w:right w:val="single" w:color="auto" w:sz="4" w:space="0"/>
            </w:tcBorders>
            <w:shd w:val="clear" w:color="auto" w:fill="auto"/>
            <w:noWrap/>
            <w:vAlign w:val="center"/>
          </w:tcPr>
          <w:p>
            <w:pPr>
              <w:spacing w:line="240" w:lineRule="exact"/>
              <w:jc w:val="center"/>
              <w:rPr>
                <w:szCs w:val="24"/>
              </w:rPr>
            </w:pPr>
            <w:r>
              <w:rPr>
                <w:rFonts w:hint="eastAsia"/>
                <w:szCs w:val="24"/>
              </w:rPr>
              <w:t>51.07</w:t>
            </w:r>
          </w:p>
        </w:tc>
        <w:tc>
          <w:tcPr>
            <w:tcW w:w="2805" w:type="dxa"/>
            <w:tcBorders>
              <w:top w:val="nil"/>
              <w:left w:val="nil"/>
              <w:bottom w:val="single" w:color="auto" w:sz="4" w:space="0"/>
              <w:right w:val="single" w:color="auto" w:sz="4" w:space="0"/>
            </w:tcBorders>
            <w:shd w:val="clear" w:color="auto" w:fill="auto"/>
            <w:noWrap/>
            <w:vAlign w:val="center"/>
          </w:tcPr>
          <w:p>
            <w:pPr>
              <w:spacing w:line="240" w:lineRule="exact"/>
              <w:jc w:val="center"/>
              <w:rPr>
                <w:szCs w:val="24"/>
              </w:rPr>
            </w:pPr>
            <w:r>
              <w:rPr>
                <w:rFonts w:hint="eastAsia"/>
                <w:szCs w:val="24"/>
              </w:rPr>
              <w:t>74.20</w:t>
            </w:r>
          </w:p>
        </w:tc>
      </w:tr>
      <w:tr>
        <w:tblPrEx>
          <w:tblCellMar>
            <w:top w:w="0" w:type="dxa"/>
            <w:left w:w="108" w:type="dxa"/>
            <w:bottom w:w="0" w:type="dxa"/>
            <w:right w:w="108" w:type="dxa"/>
          </w:tblCellMar>
        </w:tblPrEx>
        <w:trPr>
          <w:trHeight w:val="340" w:hRule="atLeast"/>
          <w:jc w:val="center"/>
        </w:trPr>
        <w:tc>
          <w:tcPr>
            <w:tcW w:w="1018"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exact"/>
              <w:jc w:val="center"/>
              <w:rPr>
                <w:kern w:val="0"/>
                <w:szCs w:val="24"/>
              </w:rPr>
            </w:pPr>
            <w:r>
              <w:rPr>
                <w:kern w:val="0"/>
                <w:szCs w:val="24"/>
              </w:rPr>
              <w:t>二</w:t>
            </w:r>
          </w:p>
        </w:tc>
        <w:tc>
          <w:tcPr>
            <w:tcW w:w="3440" w:type="dxa"/>
            <w:tcBorders>
              <w:top w:val="nil"/>
              <w:left w:val="nil"/>
              <w:bottom w:val="single" w:color="auto" w:sz="4" w:space="0"/>
              <w:right w:val="single" w:color="auto" w:sz="4" w:space="0"/>
            </w:tcBorders>
            <w:shd w:val="clear" w:color="auto" w:fill="auto"/>
            <w:noWrap/>
            <w:vAlign w:val="center"/>
          </w:tcPr>
          <w:p>
            <w:pPr>
              <w:widowControl/>
              <w:spacing w:line="240" w:lineRule="exact"/>
              <w:jc w:val="center"/>
              <w:rPr>
                <w:kern w:val="0"/>
                <w:szCs w:val="24"/>
              </w:rPr>
            </w:pPr>
            <w:r>
              <w:rPr>
                <w:kern w:val="0"/>
                <w:szCs w:val="24"/>
              </w:rPr>
              <w:t>设备费</w:t>
            </w:r>
          </w:p>
        </w:tc>
        <w:tc>
          <w:tcPr>
            <w:tcW w:w="1873" w:type="dxa"/>
            <w:tcBorders>
              <w:top w:val="nil"/>
              <w:left w:val="nil"/>
              <w:bottom w:val="single" w:color="auto" w:sz="4" w:space="0"/>
              <w:right w:val="single" w:color="auto" w:sz="4" w:space="0"/>
            </w:tcBorders>
            <w:shd w:val="clear" w:color="auto" w:fill="auto"/>
            <w:noWrap/>
            <w:vAlign w:val="center"/>
          </w:tcPr>
          <w:p>
            <w:pPr>
              <w:spacing w:line="240" w:lineRule="exact"/>
              <w:jc w:val="center"/>
              <w:rPr>
                <w:szCs w:val="24"/>
              </w:rPr>
            </w:pPr>
            <w:r>
              <w:rPr>
                <w:rFonts w:hint="eastAsia"/>
                <w:szCs w:val="24"/>
              </w:rPr>
              <w:t>-</w:t>
            </w:r>
          </w:p>
        </w:tc>
        <w:tc>
          <w:tcPr>
            <w:tcW w:w="2805" w:type="dxa"/>
            <w:tcBorders>
              <w:top w:val="nil"/>
              <w:left w:val="nil"/>
              <w:bottom w:val="single" w:color="auto" w:sz="4" w:space="0"/>
              <w:right w:val="single" w:color="auto" w:sz="4" w:space="0"/>
            </w:tcBorders>
            <w:shd w:val="clear" w:color="auto" w:fill="auto"/>
            <w:noWrap/>
            <w:vAlign w:val="center"/>
          </w:tcPr>
          <w:p>
            <w:pPr>
              <w:spacing w:line="240" w:lineRule="exact"/>
              <w:jc w:val="center"/>
              <w:rPr>
                <w:szCs w:val="24"/>
              </w:rPr>
            </w:pPr>
          </w:p>
        </w:tc>
      </w:tr>
      <w:tr>
        <w:tblPrEx>
          <w:tblCellMar>
            <w:top w:w="0" w:type="dxa"/>
            <w:left w:w="108" w:type="dxa"/>
            <w:bottom w:w="0" w:type="dxa"/>
            <w:right w:w="108" w:type="dxa"/>
          </w:tblCellMar>
        </w:tblPrEx>
        <w:trPr>
          <w:trHeight w:val="340" w:hRule="atLeast"/>
          <w:jc w:val="center"/>
        </w:trPr>
        <w:tc>
          <w:tcPr>
            <w:tcW w:w="1018"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exact"/>
              <w:jc w:val="center"/>
              <w:rPr>
                <w:kern w:val="0"/>
                <w:szCs w:val="24"/>
              </w:rPr>
            </w:pPr>
            <w:r>
              <w:rPr>
                <w:kern w:val="0"/>
                <w:szCs w:val="24"/>
              </w:rPr>
              <w:t>三</w:t>
            </w:r>
          </w:p>
        </w:tc>
        <w:tc>
          <w:tcPr>
            <w:tcW w:w="3440" w:type="dxa"/>
            <w:tcBorders>
              <w:top w:val="nil"/>
              <w:left w:val="nil"/>
              <w:bottom w:val="single" w:color="auto" w:sz="4" w:space="0"/>
              <w:right w:val="single" w:color="auto" w:sz="4" w:space="0"/>
            </w:tcBorders>
            <w:shd w:val="clear" w:color="auto" w:fill="auto"/>
            <w:noWrap/>
            <w:vAlign w:val="center"/>
          </w:tcPr>
          <w:p>
            <w:pPr>
              <w:widowControl/>
              <w:spacing w:line="240" w:lineRule="exact"/>
              <w:jc w:val="center"/>
              <w:rPr>
                <w:kern w:val="0"/>
                <w:szCs w:val="24"/>
              </w:rPr>
            </w:pPr>
            <w:r>
              <w:rPr>
                <w:kern w:val="0"/>
                <w:szCs w:val="24"/>
              </w:rPr>
              <w:t>其他费用</w:t>
            </w:r>
          </w:p>
        </w:tc>
        <w:tc>
          <w:tcPr>
            <w:tcW w:w="1873" w:type="dxa"/>
            <w:tcBorders>
              <w:top w:val="nil"/>
              <w:left w:val="nil"/>
              <w:bottom w:val="single" w:color="auto" w:sz="4" w:space="0"/>
              <w:right w:val="single" w:color="auto" w:sz="4" w:space="0"/>
            </w:tcBorders>
            <w:shd w:val="clear" w:color="auto" w:fill="auto"/>
            <w:noWrap/>
            <w:vAlign w:val="center"/>
          </w:tcPr>
          <w:p>
            <w:pPr>
              <w:spacing w:line="240" w:lineRule="exact"/>
              <w:jc w:val="center"/>
              <w:rPr>
                <w:szCs w:val="24"/>
              </w:rPr>
            </w:pPr>
            <w:r>
              <w:rPr>
                <w:szCs w:val="24"/>
              </w:rPr>
              <w:fldChar w:fldCharType="begin"/>
            </w:r>
            <w:r>
              <w:rPr>
                <w:szCs w:val="24"/>
              </w:rPr>
              <w:instrText xml:space="preserve"> =SUM(ABOVE) </w:instrText>
            </w:r>
            <w:r>
              <w:rPr>
                <w:szCs w:val="24"/>
              </w:rPr>
              <w:fldChar w:fldCharType="separate"/>
            </w:r>
            <w:r>
              <w:rPr>
                <w:szCs w:val="24"/>
              </w:rPr>
              <w:t>9.77</w:t>
            </w:r>
            <w:r>
              <w:rPr>
                <w:szCs w:val="24"/>
              </w:rPr>
              <w:fldChar w:fldCharType="end"/>
            </w:r>
          </w:p>
        </w:tc>
        <w:tc>
          <w:tcPr>
            <w:tcW w:w="2805" w:type="dxa"/>
            <w:tcBorders>
              <w:top w:val="nil"/>
              <w:left w:val="nil"/>
              <w:bottom w:val="single" w:color="auto" w:sz="4" w:space="0"/>
              <w:right w:val="single" w:color="auto" w:sz="4" w:space="0"/>
            </w:tcBorders>
            <w:shd w:val="clear" w:color="auto" w:fill="auto"/>
            <w:noWrap/>
            <w:vAlign w:val="center"/>
          </w:tcPr>
          <w:p>
            <w:pPr>
              <w:spacing w:line="240" w:lineRule="exact"/>
              <w:jc w:val="center"/>
              <w:rPr>
                <w:szCs w:val="24"/>
              </w:rPr>
            </w:pPr>
            <w:r>
              <w:rPr>
                <w:rFonts w:hint="eastAsia"/>
                <w:szCs w:val="24"/>
              </w:rPr>
              <w:t>14.19</w:t>
            </w:r>
          </w:p>
        </w:tc>
      </w:tr>
      <w:tr>
        <w:tblPrEx>
          <w:tblCellMar>
            <w:top w:w="0" w:type="dxa"/>
            <w:left w:w="108" w:type="dxa"/>
            <w:bottom w:w="0" w:type="dxa"/>
            <w:right w:w="108" w:type="dxa"/>
          </w:tblCellMar>
        </w:tblPrEx>
        <w:trPr>
          <w:trHeight w:val="340" w:hRule="atLeast"/>
          <w:jc w:val="center"/>
        </w:trPr>
        <w:tc>
          <w:tcPr>
            <w:tcW w:w="1018"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exact"/>
              <w:jc w:val="center"/>
              <w:rPr>
                <w:kern w:val="0"/>
                <w:szCs w:val="24"/>
              </w:rPr>
            </w:pPr>
            <w:r>
              <w:rPr>
                <w:kern w:val="0"/>
                <w:szCs w:val="24"/>
              </w:rPr>
              <w:t>1</w:t>
            </w:r>
          </w:p>
        </w:tc>
        <w:tc>
          <w:tcPr>
            <w:tcW w:w="3440" w:type="dxa"/>
            <w:tcBorders>
              <w:top w:val="nil"/>
              <w:left w:val="nil"/>
              <w:bottom w:val="single" w:color="auto" w:sz="4" w:space="0"/>
              <w:right w:val="single" w:color="auto" w:sz="4" w:space="0"/>
            </w:tcBorders>
            <w:shd w:val="clear" w:color="auto" w:fill="auto"/>
            <w:noWrap/>
            <w:vAlign w:val="center"/>
          </w:tcPr>
          <w:p>
            <w:pPr>
              <w:widowControl/>
              <w:spacing w:line="240" w:lineRule="exact"/>
              <w:jc w:val="center"/>
              <w:rPr>
                <w:kern w:val="0"/>
                <w:szCs w:val="24"/>
              </w:rPr>
            </w:pPr>
            <w:r>
              <w:rPr>
                <w:kern w:val="0"/>
                <w:szCs w:val="24"/>
              </w:rPr>
              <w:t>前期工作费</w:t>
            </w:r>
          </w:p>
        </w:tc>
        <w:tc>
          <w:tcPr>
            <w:tcW w:w="1873" w:type="dxa"/>
            <w:tcBorders>
              <w:top w:val="nil"/>
              <w:left w:val="nil"/>
              <w:bottom w:val="single" w:color="auto" w:sz="4" w:space="0"/>
              <w:right w:val="single" w:color="auto" w:sz="4" w:space="0"/>
            </w:tcBorders>
            <w:shd w:val="clear" w:color="auto" w:fill="auto"/>
            <w:noWrap/>
            <w:vAlign w:val="center"/>
          </w:tcPr>
          <w:p>
            <w:pPr>
              <w:spacing w:line="240" w:lineRule="exact"/>
              <w:jc w:val="center"/>
              <w:rPr>
                <w:szCs w:val="24"/>
              </w:rPr>
            </w:pPr>
            <w:r>
              <w:rPr>
                <w:rFonts w:hint="eastAsia"/>
                <w:szCs w:val="24"/>
              </w:rPr>
              <w:t>4.60</w:t>
            </w:r>
          </w:p>
        </w:tc>
        <w:tc>
          <w:tcPr>
            <w:tcW w:w="2805" w:type="dxa"/>
            <w:tcBorders>
              <w:top w:val="nil"/>
              <w:left w:val="nil"/>
              <w:bottom w:val="single" w:color="auto" w:sz="4" w:space="0"/>
              <w:right w:val="single" w:color="auto" w:sz="4" w:space="0"/>
            </w:tcBorders>
            <w:shd w:val="clear" w:color="auto" w:fill="auto"/>
            <w:noWrap/>
            <w:vAlign w:val="center"/>
          </w:tcPr>
          <w:p>
            <w:pPr>
              <w:spacing w:line="240" w:lineRule="exact"/>
              <w:jc w:val="center"/>
              <w:rPr>
                <w:szCs w:val="24"/>
              </w:rPr>
            </w:pPr>
          </w:p>
        </w:tc>
      </w:tr>
      <w:tr>
        <w:tblPrEx>
          <w:tblCellMar>
            <w:top w:w="0" w:type="dxa"/>
            <w:left w:w="108" w:type="dxa"/>
            <w:bottom w:w="0" w:type="dxa"/>
            <w:right w:w="108" w:type="dxa"/>
          </w:tblCellMar>
        </w:tblPrEx>
        <w:trPr>
          <w:trHeight w:val="340" w:hRule="atLeast"/>
          <w:jc w:val="center"/>
        </w:trPr>
        <w:tc>
          <w:tcPr>
            <w:tcW w:w="1018"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exact"/>
              <w:jc w:val="center"/>
              <w:rPr>
                <w:kern w:val="0"/>
                <w:szCs w:val="24"/>
              </w:rPr>
            </w:pPr>
            <w:r>
              <w:rPr>
                <w:kern w:val="0"/>
                <w:szCs w:val="24"/>
              </w:rPr>
              <w:t>2</w:t>
            </w:r>
          </w:p>
        </w:tc>
        <w:tc>
          <w:tcPr>
            <w:tcW w:w="3440" w:type="dxa"/>
            <w:tcBorders>
              <w:top w:val="nil"/>
              <w:left w:val="nil"/>
              <w:bottom w:val="single" w:color="auto" w:sz="4" w:space="0"/>
              <w:right w:val="single" w:color="auto" w:sz="4" w:space="0"/>
            </w:tcBorders>
            <w:shd w:val="clear" w:color="auto" w:fill="auto"/>
            <w:noWrap/>
            <w:vAlign w:val="center"/>
          </w:tcPr>
          <w:p>
            <w:pPr>
              <w:widowControl/>
              <w:spacing w:line="240" w:lineRule="exact"/>
              <w:jc w:val="center"/>
              <w:rPr>
                <w:kern w:val="0"/>
                <w:szCs w:val="24"/>
              </w:rPr>
            </w:pPr>
            <w:r>
              <w:rPr>
                <w:kern w:val="0"/>
                <w:szCs w:val="24"/>
              </w:rPr>
              <w:t>工程监理费</w:t>
            </w:r>
          </w:p>
        </w:tc>
        <w:tc>
          <w:tcPr>
            <w:tcW w:w="1873" w:type="dxa"/>
            <w:tcBorders>
              <w:top w:val="nil"/>
              <w:left w:val="nil"/>
              <w:bottom w:val="single" w:color="auto" w:sz="4" w:space="0"/>
              <w:right w:val="single" w:color="auto" w:sz="4" w:space="0"/>
            </w:tcBorders>
            <w:shd w:val="clear" w:color="auto" w:fill="auto"/>
            <w:noWrap/>
            <w:vAlign w:val="center"/>
          </w:tcPr>
          <w:p>
            <w:pPr>
              <w:spacing w:line="240" w:lineRule="exact"/>
              <w:jc w:val="center"/>
              <w:rPr>
                <w:szCs w:val="24"/>
              </w:rPr>
            </w:pPr>
            <w:r>
              <w:rPr>
                <w:rFonts w:hint="eastAsia"/>
                <w:szCs w:val="24"/>
              </w:rPr>
              <w:t>1.28</w:t>
            </w:r>
          </w:p>
        </w:tc>
        <w:tc>
          <w:tcPr>
            <w:tcW w:w="2805" w:type="dxa"/>
            <w:tcBorders>
              <w:top w:val="nil"/>
              <w:left w:val="nil"/>
              <w:bottom w:val="single" w:color="auto" w:sz="4" w:space="0"/>
              <w:right w:val="single" w:color="auto" w:sz="4" w:space="0"/>
            </w:tcBorders>
            <w:shd w:val="clear" w:color="auto" w:fill="auto"/>
            <w:noWrap/>
            <w:vAlign w:val="center"/>
          </w:tcPr>
          <w:p>
            <w:pPr>
              <w:spacing w:line="240" w:lineRule="exact"/>
              <w:jc w:val="center"/>
              <w:rPr>
                <w:szCs w:val="24"/>
              </w:rPr>
            </w:pPr>
          </w:p>
        </w:tc>
      </w:tr>
      <w:tr>
        <w:tblPrEx>
          <w:tblCellMar>
            <w:top w:w="0" w:type="dxa"/>
            <w:left w:w="108" w:type="dxa"/>
            <w:bottom w:w="0" w:type="dxa"/>
            <w:right w:w="108" w:type="dxa"/>
          </w:tblCellMar>
        </w:tblPrEx>
        <w:trPr>
          <w:trHeight w:val="340" w:hRule="atLeast"/>
          <w:jc w:val="center"/>
        </w:trPr>
        <w:tc>
          <w:tcPr>
            <w:tcW w:w="1018"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exact"/>
              <w:jc w:val="center"/>
              <w:rPr>
                <w:kern w:val="0"/>
                <w:szCs w:val="24"/>
              </w:rPr>
            </w:pPr>
            <w:r>
              <w:rPr>
                <w:kern w:val="0"/>
                <w:szCs w:val="24"/>
              </w:rPr>
              <w:t>3</w:t>
            </w:r>
          </w:p>
        </w:tc>
        <w:tc>
          <w:tcPr>
            <w:tcW w:w="3440" w:type="dxa"/>
            <w:tcBorders>
              <w:top w:val="nil"/>
              <w:left w:val="nil"/>
              <w:bottom w:val="single" w:color="auto" w:sz="4" w:space="0"/>
              <w:right w:val="single" w:color="auto" w:sz="4" w:space="0"/>
            </w:tcBorders>
            <w:shd w:val="clear" w:color="auto" w:fill="auto"/>
            <w:noWrap/>
            <w:vAlign w:val="center"/>
          </w:tcPr>
          <w:p>
            <w:pPr>
              <w:widowControl/>
              <w:spacing w:line="240" w:lineRule="exact"/>
              <w:jc w:val="center"/>
              <w:rPr>
                <w:kern w:val="0"/>
                <w:szCs w:val="24"/>
              </w:rPr>
            </w:pPr>
            <w:r>
              <w:rPr>
                <w:kern w:val="0"/>
                <w:szCs w:val="24"/>
              </w:rPr>
              <w:t>竣工验收费</w:t>
            </w:r>
          </w:p>
        </w:tc>
        <w:tc>
          <w:tcPr>
            <w:tcW w:w="1873" w:type="dxa"/>
            <w:tcBorders>
              <w:top w:val="nil"/>
              <w:left w:val="nil"/>
              <w:bottom w:val="single" w:color="auto" w:sz="4" w:space="0"/>
              <w:right w:val="single" w:color="auto" w:sz="4" w:space="0"/>
            </w:tcBorders>
            <w:shd w:val="clear" w:color="auto" w:fill="auto"/>
            <w:noWrap/>
            <w:vAlign w:val="center"/>
          </w:tcPr>
          <w:p>
            <w:pPr>
              <w:spacing w:line="240" w:lineRule="exact"/>
              <w:jc w:val="center"/>
              <w:rPr>
                <w:szCs w:val="24"/>
              </w:rPr>
            </w:pPr>
            <w:r>
              <w:rPr>
                <w:rFonts w:hint="eastAsia"/>
                <w:szCs w:val="24"/>
              </w:rPr>
              <w:t>2.18</w:t>
            </w:r>
          </w:p>
        </w:tc>
        <w:tc>
          <w:tcPr>
            <w:tcW w:w="2805" w:type="dxa"/>
            <w:tcBorders>
              <w:top w:val="nil"/>
              <w:left w:val="nil"/>
              <w:bottom w:val="single" w:color="auto" w:sz="4" w:space="0"/>
              <w:right w:val="single" w:color="auto" w:sz="4" w:space="0"/>
            </w:tcBorders>
            <w:shd w:val="clear" w:color="auto" w:fill="auto"/>
            <w:noWrap/>
            <w:vAlign w:val="center"/>
          </w:tcPr>
          <w:p>
            <w:pPr>
              <w:spacing w:line="240" w:lineRule="exact"/>
              <w:jc w:val="center"/>
              <w:rPr>
                <w:szCs w:val="24"/>
              </w:rPr>
            </w:pPr>
          </w:p>
        </w:tc>
      </w:tr>
      <w:tr>
        <w:tblPrEx>
          <w:tblCellMar>
            <w:top w:w="0" w:type="dxa"/>
            <w:left w:w="108" w:type="dxa"/>
            <w:bottom w:w="0" w:type="dxa"/>
            <w:right w:w="108" w:type="dxa"/>
          </w:tblCellMar>
        </w:tblPrEx>
        <w:trPr>
          <w:trHeight w:val="340" w:hRule="atLeast"/>
          <w:jc w:val="center"/>
        </w:trPr>
        <w:tc>
          <w:tcPr>
            <w:tcW w:w="1018"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exact"/>
              <w:jc w:val="center"/>
              <w:rPr>
                <w:kern w:val="0"/>
                <w:szCs w:val="24"/>
              </w:rPr>
            </w:pPr>
            <w:r>
              <w:rPr>
                <w:kern w:val="0"/>
                <w:szCs w:val="24"/>
              </w:rPr>
              <w:t>4</w:t>
            </w:r>
          </w:p>
        </w:tc>
        <w:tc>
          <w:tcPr>
            <w:tcW w:w="3440" w:type="dxa"/>
            <w:tcBorders>
              <w:top w:val="nil"/>
              <w:left w:val="nil"/>
              <w:bottom w:val="single" w:color="auto" w:sz="4" w:space="0"/>
              <w:right w:val="single" w:color="auto" w:sz="4" w:space="0"/>
            </w:tcBorders>
            <w:shd w:val="clear" w:color="auto" w:fill="auto"/>
            <w:noWrap/>
            <w:vAlign w:val="center"/>
          </w:tcPr>
          <w:p>
            <w:pPr>
              <w:widowControl/>
              <w:spacing w:line="240" w:lineRule="exact"/>
              <w:jc w:val="center"/>
              <w:rPr>
                <w:kern w:val="0"/>
                <w:szCs w:val="24"/>
              </w:rPr>
            </w:pPr>
            <w:r>
              <w:rPr>
                <w:kern w:val="0"/>
                <w:szCs w:val="24"/>
              </w:rPr>
              <w:t>业主管理费</w:t>
            </w:r>
          </w:p>
        </w:tc>
        <w:tc>
          <w:tcPr>
            <w:tcW w:w="1873" w:type="dxa"/>
            <w:tcBorders>
              <w:top w:val="nil"/>
              <w:left w:val="nil"/>
              <w:bottom w:val="single" w:color="auto" w:sz="4" w:space="0"/>
              <w:right w:val="single" w:color="auto" w:sz="4" w:space="0"/>
            </w:tcBorders>
            <w:shd w:val="clear" w:color="auto" w:fill="auto"/>
            <w:noWrap/>
            <w:vAlign w:val="center"/>
          </w:tcPr>
          <w:p>
            <w:pPr>
              <w:spacing w:line="240" w:lineRule="exact"/>
              <w:jc w:val="center"/>
              <w:rPr>
                <w:szCs w:val="24"/>
              </w:rPr>
            </w:pPr>
            <w:r>
              <w:rPr>
                <w:rFonts w:hint="eastAsia"/>
                <w:szCs w:val="24"/>
              </w:rPr>
              <w:t>1.71</w:t>
            </w:r>
          </w:p>
        </w:tc>
        <w:tc>
          <w:tcPr>
            <w:tcW w:w="2805" w:type="dxa"/>
            <w:tcBorders>
              <w:top w:val="nil"/>
              <w:left w:val="nil"/>
              <w:bottom w:val="single" w:color="auto" w:sz="4" w:space="0"/>
              <w:right w:val="single" w:color="auto" w:sz="4" w:space="0"/>
            </w:tcBorders>
            <w:shd w:val="clear" w:color="auto" w:fill="auto"/>
            <w:noWrap/>
            <w:vAlign w:val="center"/>
          </w:tcPr>
          <w:p>
            <w:pPr>
              <w:spacing w:line="240" w:lineRule="exact"/>
              <w:jc w:val="center"/>
              <w:rPr>
                <w:szCs w:val="24"/>
              </w:rPr>
            </w:pPr>
          </w:p>
        </w:tc>
      </w:tr>
      <w:tr>
        <w:tblPrEx>
          <w:tblCellMar>
            <w:top w:w="0" w:type="dxa"/>
            <w:left w:w="108" w:type="dxa"/>
            <w:bottom w:w="0" w:type="dxa"/>
            <w:right w:w="108" w:type="dxa"/>
          </w:tblCellMar>
        </w:tblPrEx>
        <w:trPr>
          <w:trHeight w:val="340" w:hRule="atLeast"/>
          <w:jc w:val="center"/>
        </w:trPr>
        <w:tc>
          <w:tcPr>
            <w:tcW w:w="1018"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exact"/>
              <w:jc w:val="center"/>
              <w:rPr>
                <w:kern w:val="0"/>
                <w:szCs w:val="24"/>
              </w:rPr>
            </w:pPr>
            <w:r>
              <w:rPr>
                <w:kern w:val="0"/>
                <w:szCs w:val="24"/>
              </w:rPr>
              <w:t>四</w:t>
            </w:r>
          </w:p>
        </w:tc>
        <w:tc>
          <w:tcPr>
            <w:tcW w:w="3440" w:type="dxa"/>
            <w:tcBorders>
              <w:top w:val="nil"/>
              <w:left w:val="nil"/>
              <w:bottom w:val="single" w:color="auto" w:sz="4" w:space="0"/>
              <w:right w:val="single" w:color="auto" w:sz="4" w:space="0"/>
            </w:tcBorders>
            <w:shd w:val="clear" w:color="auto" w:fill="auto"/>
            <w:noWrap/>
            <w:vAlign w:val="center"/>
          </w:tcPr>
          <w:p>
            <w:pPr>
              <w:widowControl/>
              <w:spacing w:line="240" w:lineRule="exact"/>
              <w:jc w:val="center"/>
              <w:rPr>
                <w:kern w:val="0"/>
                <w:szCs w:val="24"/>
              </w:rPr>
            </w:pPr>
            <w:r>
              <w:rPr>
                <w:kern w:val="0"/>
                <w:szCs w:val="24"/>
              </w:rPr>
              <w:t>监测与管护费</w:t>
            </w:r>
          </w:p>
        </w:tc>
        <w:tc>
          <w:tcPr>
            <w:tcW w:w="1873" w:type="dxa"/>
            <w:tcBorders>
              <w:top w:val="nil"/>
              <w:left w:val="nil"/>
              <w:bottom w:val="single" w:color="auto" w:sz="4" w:space="0"/>
              <w:right w:val="single" w:color="auto" w:sz="4" w:space="0"/>
            </w:tcBorders>
            <w:shd w:val="clear" w:color="auto" w:fill="auto"/>
            <w:noWrap/>
            <w:vAlign w:val="center"/>
          </w:tcPr>
          <w:p>
            <w:pPr>
              <w:spacing w:line="240" w:lineRule="exact"/>
              <w:jc w:val="center"/>
              <w:rPr>
                <w:szCs w:val="24"/>
              </w:rPr>
            </w:pPr>
            <w:r>
              <w:rPr>
                <w:szCs w:val="24"/>
              </w:rPr>
              <w:fldChar w:fldCharType="begin"/>
            </w:r>
            <w:r>
              <w:rPr>
                <w:szCs w:val="24"/>
              </w:rPr>
              <w:instrText xml:space="preserve"> =SUM(ABOVE) </w:instrText>
            </w:r>
            <w:r>
              <w:rPr>
                <w:szCs w:val="24"/>
              </w:rPr>
              <w:fldChar w:fldCharType="separate"/>
            </w:r>
            <w:r>
              <w:rPr>
                <w:szCs w:val="24"/>
              </w:rPr>
              <w:t>4.35</w:t>
            </w:r>
            <w:r>
              <w:rPr>
                <w:szCs w:val="24"/>
              </w:rPr>
              <w:fldChar w:fldCharType="end"/>
            </w:r>
          </w:p>
        </w:tc>
        <w:tc>
          <w:tcPr>
            <w:tcW w:w="2805" w:type="dxa"/>
            <w:tcBorders>
              <w:top w:val="nil"/>
              <w:left w:val="nil"/>
              <w:bottom w:val="single" w:color="auto" w:sz="4" w:space="0"/>
              <w:right w:val="single" w:color="auto" w:sz="4" w:space="0"/>
            </w:tcBorders>
            <w:shd w:val="clear" w:color="auto" w:fill="auto"/>
            <w:noWrap/>
            <w:vAlign w:val="center"/>
          </w:tcPr>
          <w:p>
            <w:pPr>
              <w:spacing w:line="240" w:lineRule="exact"/>
              <w:jc w:val="center"/>
              <w:rPr>
                <w:szCs w:val="24"/>
              </w:rPr>
            </w:pPr>
            <w:r>
              <w:rPr>
                <w:rFonts w:hint="eastAsia"/>
                <w:szCs w:val="24"/>
              </w:rPr>
              <w:t>6.32</w:t>
            </w:r>
          </w:p>
        </w:tc>
      </w:tr>
      <w:tr>
        <w:tblPrEx>
          <w:tblCellMar>
            <w:top w:w="0" w:type="dxa"/>
            <w:left w:w="108" w:type="dxa"/>
            <w:bottom w:w="0" w:type="dxa"/>
            <w:right w:w="108" w:type="dxa"/>
          </w:tblCellMar>
        </w:tblPrEx>
        <w:trPr>
          <w:trHeight w:val="340" w:hRule="atLeast"/>
          <w:jc w:val="center"/>
        </w:trPr>
        <w:tc>
          <w:tcPr>
            <w:tcW w:w="1018"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exact"/>
              <w:jc w:val="center"/>
              <w:rPr>
                <w:kern w:val="0"/>
                <w:szCs w:val="24"/>
              </w:rPr>
            </w:pPr>
            <w:r>
              <w:rPr>
                <w:kern w:val="0"/>
                <w:szCs w:val="24"/>
              </w:rPr>
              <w:t>1</w:t>
            </w:r>
          </w:p>
        </w:tc>
        <w:tc>
          <w:tcPr>
            <w:tcW w:w="3440" w:type="dxa"/>
            <w:tcBorders>
              <w:top w:val="nil"/>
              <w:left w:val="nil"/>
              <w:bottom w:val="single" w:color="auto" w:sz="4" w:space="0"/>
              <w:right w:val="single" w:color="auto" w:sz="4" w:space="0"/>
            </w:tcBorders>
            <w:shd w:val="clear" w:color="auto" w:fill="auto"/>
            <w:noWrap/>
            <w:vAlign w:val="center"/>
          </w:tcPr>
          <w:p>
            <w:pPr>
              <w:widowControl/>
              <w:spacing w:line="240" w:lineRule="exact"/>
              <w:jc w:val="center"/>
              <w:rPr>
                <w:kern w:val="0"/>
                <w:szCs w:val="24"/>
              </w:rPr>
            </w:pPr>
            <w:r>
              <w:rPr>
                <w:kern w:val="0"/>
                <w:szCs w:val="24"/>
              </w:rPr>
              <w:t>监测费</w:t>
            </w:r>
          </w:p>
        </w:tc>
        <w:tc>
          <w:tcPr>
            <w:tcW w:w="1873" w:type="dxa"/>
            <w:tcBorders>
              <w:top w:val="nil"/>
              <w:left w:val="nil"/>
              <w:bottom w:val="single" w:color="auto" w:sz="4" w:space="0"/>
              <w:right w:val="single" w:color="auto" w:sz="4" w:space="0"/>
            </w:tcBorders>
            <w:shd w:val="clear" w:color="auto" w:fill="auto"/>
            <w:noWrap/>
            <w:vAlign w:val="center"/>
          </w:tcPr>
          <w:p>
            <w:pPr>
              <w:spacing w:line="240" w:lineRule="exact"/>
              <w:jc w:val="center"/>
              <w:rPr>
                <w:szCs w:val="24"/>
              </w:rPr>
            </w:pPr>
            <w:r>
              <w:rPr>
                <w:rFonts w:hint="eastAsia"/>
                <w:szCs w:val="24"/>
              </w:rPr>
              <w:t>1.16</w:t>
            </w:r>
          </w:p>
        </w:tc>
        <w:tc>
          <w:tcPr>
            <w:tcW w:w="2805" w:type="dxa"/>
            <w:tcBorders>
              <w:top w:val="nil"/>
              <w:left w:val="nil"/>
              <w:bottom w:val="single" w:color="auto" w:sz="4" w:space="0"/>
              <w:right w:val="single" w:color="auto" w:sz="4" w:space="0"/>
            </w:tcBorders>
            <w:shd w:val="clear" w:color="auto" w:fill="auto"/>
            <w:noWrap/>
            <w:vAlign w:val="center"/>
          </w:tcPr>
          <w:p>
            <w:pPr>
              <w:spacing w:line="240" w:lineRule="exact"/>
              <w:jc w:val="center"/>
              <w:rPr>
                <w:szCs w:val="24"/>
              </w:rPr>
            </w:pPr>
          </w:p>
        </w:tc>
      </w:tr>
      <w:tr>
        <w:tblPrEx>
          <w:tblCellMar>
            <w:top w:w="0" w:type="dxa"/>
            <w:left w:w="108" w:type="dxa"/>
            <w:bottom w:w="0" w:type="dxa"/>
            <w:right w:w="108" w:type="dxa"/>
          </w:tblCellMar>
        </w:tblPrEx>
        <w:trPr>
          <w:trHeight w:val="340" w:hRule="atLeast"/>
          <w:jc w:val="center"/>
        </w:trPr>
        <w:tc>
          <w:tcPr>
            <w:tcW w:w="1018"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exact"/>
              <w:jc w:val="center"/>
              <w:rPr>
                <w:kern w:val="0"/>
                <w:szCs w:val="24"/>
              </w:rPr>
            </w:pPr>
            <w:r>
              <w:rPr>
                <w:kern w:val="0"/>
                <w:szCs w:val="24"/>
              </w:rPr>
              <w:t>2</w:t>
            </w:r>
          </w:p>
        </w:tc>
        <w:tc>
          <w:tcPr>
            <w:tcW w:w="3440" w:type="dxa"/>
            <w:tcBorders>
              <w:top w:val="nil"/>
              <w:left w:val="nil"/>
              <w:bottom w:val="single" w:color="auto" w:sz="4" w:space="0"/>
              <w:right w:val="single" w:color="auto" w:sz="4" w:space="0"/>
            </w:tcBorders>
            <w:shd w:val="clear" w:color="auto" w:fill="auto"/>
            <w:noWrap/>
            <w:vAlign w:val="center"/>
          </w:tcPr>
          <w:p>
            <w:pPr>
              <w:widowControl/>
              <w:spacing w:line="240" w:lineRule="exact"/>
              <w:jc w:val="center"/>
              <w:rPr>
                <w:kern w:val="0"/>
                <w:szCs w:val="24"/>
              </w:rPr>
            </w:pPr>
            <w:r>
              <w:rPr>
                <w:kern w:val="0"/>
                <w:szCs w:val="24"/>
              </w:rPr>
              <w:t>管护费</w:t>
            </w:r>
          </w:p>
        </w:tc>
        <w:tc>
          <w:tcPr>
            <w:tcW w:w="1873" w:type="dxa"/>
            <w:tcBorders>
              <w:top w:val="nil"/>
              <w:left w:val="nil"/>
              <w:bottom w:val="single" w:color="auto" w:sz="4" w:space="0"/>
              <w:right w:val="single" w:color="auto" w:sz="4" w:space="0"/>
            </w:tcBorders>
            <w:shd w:val="clear" w:color="auto" w:fill="auto"/>
            <w:noWrap/>
            <w:vAlign w:val="center"/>
          </w:tcPr>
          <w:p>
            <w:pPr>
              <w:spacing w:line="240" w:lineRule="exact"/>
              <w:jc w:val="center"/>
              <w:rPr>
                <w:szCs w:val="24"/>
              </w:rPr>
            </w:pPr>
            <w:r>
              <w:rPr>
                <w:rFonts w:hint="eastAsia"/>
                <w:szCs w:val="24"/>
              </w:rPr>
              <w:t>3.19</w:t>
            </w:r>
          </w:p>
        </w:tc>
        <w:tc>
          <w:tcPr>
            <w:tcW w:w="2805" w:type="dxa"/>
            <w:tcBorders>
              <w:top w:val="nil"/>
              <w:left w:val="nil"/>
              <w:bottom w:val="single" w:color="auto" w:sz="4" w:space="0"/>
              <w:right w:val="single" w:color="auto" w:sz="4" w:space="0"/>
            </w:tcBorders>
            <w:shd w:val="clear" w:color="auto" w:fill="auto"/>
            <w:noWrap/>
            <w:vAlign w:val="center"/>
          </w:tcPr>
          <w:p>
            <w:pPr>
              <w:spacing w:line="240" w:lineRule="exact"/>
              <w:jc w:val="center"/>
              <w:rPr>
                <w:szCs w:val="24"/>
              </w:rPr>
            </w:pPr>
          </w:p>
        </w:tc>
      </w:tr>
      <w:tr>
        <w:tblPrEx>
          <w:tblCellMar>
            <w:top w:w="0" w:type="dxa"/>
            <w:left w:w="108" w:type="dxa"/>
            <w:bottom w:w="0" w:type="dxa"/>
            <w:right w:w="108" w:type="dxa"/>
          </w:tblCellMar>
        </w:tblPrEx>
        <w:trPr>
          <w:trHeight w:val="340" w:hRule="atLeast"/>
          <w:jc w:val="center"/>
        </w:trPr>
        <w:tc>
          <w:tcPr>
            <w:tcW w:w="1018"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exact"/>
              <w:jc w:val="center"/>
              <w:rPr>
                <w:kern w:val="0"/>
                <w:szCs w:val="24"/>
              </w:rPr>
            </w:pPr>
            <w:r>
              <w:rPr>
                <w:kern w:val="0"/>
                <w:szCs w:val="24"/>
              </w:rPr>
              <w:t>五</w:t>
            </w:r>
          </w:p>
        </w:tc>
        <w:tc>
          <w:tcPr>
            <w:tcW w:w="3440" w:type="dxa"/>
            <w:tcBorders>
              <w:top w:val="nil"/>
              <w:left w:val="nil"/>
              <w:bottom w:val="single" w:color="auto" w:sz="4" w:space="0"/>
              <w:right w:val="single" w:color="auto" w:sz="4" w:space="0"/>
            </w:tcBorders>
            <w:shd w:val="clear" w:color="auto" w:fill="auto"/>
            <w:noWrap/>
            <w:vAlign w:val="center"/>
          </w:tcPr>
          <w:p>
            <w:pPr>
              <w:widowControl/>
              <w:spacing w:line="240" w:lineRule="exact"/>
              <w:jc w:val="center"/>
              <w:rPr>
                <w:kern w:val="0"/>
                <w:szCs w:val="24"/>
              </w:rPr>
            </w:pPr>
            <w:r>
              <w:rPr>
                <w:kern w:val="0"/>
                <w:szCs w:val="24"/>
              </w:rPr>
              <w:t>预备费</w:t>
            </w:r>
          </w:p>
        </w:tc>
        <w:tc>
          <w:tcPr>
            <w:tcW w:w="1873" w:type="dxa"/>
            <w:tcBorders>
              <w:top w:val="nil"/>
              <w:left w:val="nil"/>
              <w:bottom w:val="single" w:color="auto" w:sz="4" w:space="0"/>
              <w:right w:val="single" w:color="auto" w:sz="4" w:space="0"/>
            </w:tcBorders>
            <w:shd w:val="clear" w:color="auto" w:fill="auto"/>
            <w:noWrap/>
            <w:vAlign w:val="center"/>
          </w:tcPr>
          <w:p>
            <w:pPr>
              <w:spacing w:line="240" w:lineRule="exact"/>
              <w:jc w:val="center"/>
              <w:rPr>
                <w:szCs w:val="24"/>
              </w:rPr>
            </w:pPr>
            <w:r>
              <w:rPr>
                <w:szCs w:val="24"/>
              </w:rPr>
              <w:fldChar w:fldCharType="begin"/>
            </w:r>
            <w:r>
              <w:rPr>
                <w:szCs w:val="24"/>
              </w:rPr>
              <w:instrText xml:space="preserve"> =SUM(ABOVE) </w:instrText>
            </w:r>
            <w:r>
              <w:rPr>
                <w:szCs w:val="24"/>
              </w:rPr>
              <w:fldChar w:fldCharType="separate"/>
            </w:r>
            <w:r>
              <w:rPr>
                <w:szCs w:val="24"/>
              </w:rPr>
              <w:t>3.64</w:t>
            </w:r>
            <w:r>
              <w:rPr>
                <w:szCs w:val="24"/>
              </w:rPr>
              <w:fldChar w:fldCharType="end"/>
            </w:r>
          </w:p>
        </w:tc>
        <w:tc>
          <w:tcPr>
            <w:tcW w:w="2805" w:type="dxa"/>
            <w:tcBorders>
              <w:top w:val="nil"/>
              <w:left w:val="nil"/>
              <w:bottom w:val="single" w:color="auto" w:sz="4" w:space="0"/>
              <w:right w:val="single" w:color="auto" w:sz="4" w:space="0"/>
            </w:tcBorders>
            <w:shd w:val="clear" w:color="auto" w:fill="auto"/>
            <w:noWrap/>
            <w:vAlign w:val="center"/>
          </w:tcPr>
          <w:p>
            <w:pPr>
              <w:spacing w:line="240" w:lineRule="exact"/>
              <w:jc w:val="center"/>
              <w:rPr>
                <w:szCs w:val="24"/>
              </w:rPr>
            </w:pPr>
            <w:r>
              <w:rPr>
                <w:rFonts w:hint="eastAsia"/>
                <w:szCs w:val="24"/>
              </w:rPr>
              <w:t>5.29</w:t>
            </w:r>
          </w:p>
        </w:tc>
      </w:tr>
      <w:tr>
        <w:tblPrEx>
          <w:tblCellMar>
            <w:top w:w="0" w:type="dxa"/>
            <w:left w:w="108" w:type="dxa"/>
            <w:bottom w:w="0" w:type="dxa"/>
            <w:right w:w="108" w:type="dxa"/>
          </w:tblCellMar>
        </w:tblPrEx>
        <w:trPr>
          <w:trHeight w:val="340" w:hRule="atLeast"/>
          <w:jc w:val="center"/>
        </w:trPr>
        <w:tc>
          <w:tcPr>
            <w:tcW w:w="1018" w:type="dxa"/>
            <w:tcBorders>
              <w:top w:val="nil"/>
              <w:left w:val="single" w:color="auto" w:sz="4" w:space="0"/>
              <w:bottom w:val="single" w:color="auto" w:sz="4" w:space="0"/>
              <w:right w:val="single" w:color="auto" w:sz="4" w:space="0"/>
            </w:tcBorders>
            <w:shd w:val="clear" w:color="auto" w:fill="auto"/>
            <w:noWrap/>
            <w:vAlign w:val="center"/>
          </w:tcPr>
          <w:p>
            <w:pPr>
              <w:spacing w:line="240" w:lineRule="exact"/>
              <w:jc w:val="center"/>
              <w:rPr>
                <w:szCs w:val="24"/>
              </w:rPr>
            </w:pPr>
            <w:r>
              <w:rPr>
                <w:szCs w:val="24"/>
              </w:rPr>
              <w:t>1</w:t>
            </w:r>
          </w:p>
        </w:tc>
        <w:tc>
          <w:tcPr>
            <w:tcW w:w="3440" w:type="dxa"/>
            <w:tcBorders>
              <w:top w:val="nil"/>
              <w:left w:val="nil"/>
              <w:bottom w:val="single" w:color="auto" w:sz="4" w:space="0"/>
              <w:right w:val="single" w:color="auto" w:sz="4" w:space="0"/>
            </w:tcBorders>
            <w:shd w:val="clear" w:color="auto" w:fill="auto"/>
            <w:noWrap/>
            <w:vAlign w:val="center"/>
          </w:tcPr>
          <w:p>
            <w:pPr>
              <w:spacing w:line="240" w:lineRule="exact"/>
              <w:jc w:val="center"/>
              <w:rPr>
                <w:szCs w:val="24"/>
              </w:rPr>
            </w:pPr>
            <w:r>
              <w:rPr>
                <w:szCs w:val="24"/>
              </w:rPr>
              <w:t>基本预备费</w:t>
            </w:r>
          </w:p>
        </w:tc>
        <w:tc>
          <w:tcPr>
            <w:tcW w:w="1873" w:type="dxa"/>
            <w:tcBorders>
              <w:top w:val="nil"/>
              <w:left w:val="nil"/>
              <w:bottom w:val="single" w:color="auto" w:sz="4" w:space="0"/>
              <w:right w:val="single" w:color="auto" w:sz="4" w:space="0"/>
            </w:tcBorders>
            <w:shd w:val="clear" w:color="auto" w:fill="auto"/>
            <w:noWrap/>
            <w:vAlign w:val="center"/>
          </w:tcPr>
          <w:p>
            <w:pPr>
              <w:spacing w:line="240" w:lineRule="exact"/>
              <w:jc w:val="center"/>
              <w:rPr>
                <w:szCs w:val="24"/>
              </w:rPr>
            </w:pPr>
            <w:r>
              <w:rPr>
                <w:rFonts w:hint="eastAsia"/>
                <w:szCs w:val="24"/>
              </w:rPr>
              <w:t>1.82</w:t>
            </w:r>
          </w:p>
        </w:tc>
        <w:tc>
          <w:tcPr>
            <w:tcW w:w="2805" w:type="dxa"/>
            <w:tcBorders>
              <w:top w:val="nil"/>
              <w:left w:val="nil"/>
              <w:bottom w:val="single" w:color="auto" w:sz="4" w:space="0"/>
              <w:right w:val="single" w:color="auto" w:sz="4" w:space="0"/>
            </w:tcBorders>
            <w:shd w:val="clear" w:color="auto" w:fill="auto"/>
            <w:noWrap/>
            <w:vAlign w:val="center"/>
          </w:tcPr>
          <w:p>
            <w:pPr>
              <w:spacing w:line="240" w:lineRule="exact"/>
              <w:jc w:val="center"/>
              <w:rPr>
                <w:szCs w:val="24"/>
              </w:rPr>
            </w:pPr>
          </w:p>
        </w:tc>
      </w:tr>
      <w:tr>
        <w:tblPrEx>
          <w:tblCellMar>
            <w:top w:w="0" w:type="dxa"/>
            <w:left w:w="108" w:type="dxa"/>
            <w:bottom w:w="0" w:type="dxa"/>
            <w:right w:w="108" w:type="dxa"/>
          </w:tblCellMar>
        </w:tblPrEx>
        <w:trPr>
          <w:trHeight w:val="340" w:hRule="atLeast"/>
          <w:jc w:val="center"/>
        </w:trPr>
        <w:tc>
          <w:tcPr>
            <w:tcW w:w="1018" w:type="dxa"/>
            <w:tcBorders>
              <w:top w:val="nil"/>
              <w:left w:val="single" w:color="auto" w:sz="4" w:space="0"/>
              <w:bottom w:val="single" w:color="auto" w:sz="4" w:space="0"/>
              <w:right w:val="single" w:color="auto" w:sz="4" w:space="0"/>
            </w:tcBorders>
            <w:shd w:val="clear" w:color="auto" w:fill="auto"/>
            <w:noWrap/>
            <w:vAlign w:val="center"/>
          </w:tcPr>
          <w:p>
            <w:pPr>
              <w:spacing w:line="240" w:lineRule="exact"/>
              <w:jc w:val="center"/>
              <w:rPr>
                <w:szCs w:val="24"/>
              </w:rPr>
            </w:pPr>
            <w:r>
              <w:rPr>
                <w:szCs w:val="24"/>
              </w:rPr>
              <w:t>2</w:t>
            </w:r>
          </w:p>
        </w:tc>
        <w:tc>
          <w:tcPr>
            <w:tcW w:w="3440" w:type="dxa"/>
            <w:tcBorders>
              <w:top w:val="nil"/>
              <w:left w:val="nil"/>
              <w:bottom w:val="single" w:color="auto" w:sz="4" w:space="0"/>
              <w:right w:val="single" w:color="auto" w:sz="4" w:space="0"/>
            </w:tcBorders>
            <w:shd w:val="clear" w:color="auto" w:fill="auto"/>
            <w:noWrap/>
            <w:vAlign w:val="center"/>
          </w:tcPr>
          <w:p>
            <w:pPr>
              <w:spacing w:line="240" w:lineRule="exact"/>
              <w:jc w:val="center"/>
              <w:rPr>
                <w:szCs w:val="24"/>
              </w:rPr>
            </w:pPr>
            <w:r>
              <w:rPr>
                <w:szCs w:val="24"/>
              </w:rPr>
              <w:t>风险金</w:t>
            </w:r>
          </w:p>
        </w:tc>
        <w:tc>
          <w:tcPr>
            <w:tcW w:w="1873" w:type="dxa"/>
            <w:tcBorders>
              <w:top w:val="nil"/>
              <w:left w:val="nil"/>
              <w:bottom w:val="single" w:color="auto" w:sz="4" w:space="0"/>
              <w:right w:val="single" w:color="auto" w:sz="4" w:space="0"/>
            </w:tcBorders>
            <w:shd w:val="clear" w:color="auto" w:fill="auto"/>
            <w:noWrap/>
            <w:vAlign w:val="center"/>
          </w:tcPr>
          <w:p>
            <w:pPr>
              <w:spacing w:line="240" w:lineRule="exact"/>
              <w:jc w:val="center"/>
              <w:rPr>
                <w:szCs w:val="24"/>
              </w:rPr>
            </w:pPr>
            <w:r>
              <w:rPr>
                <w:rFonts w:hint="eastAsia"/>
                <w:szCs w:val="24"/>
              </w:rPr>
              <w:t>1.82</w:t>
            </w:r>
          </w:p>
        </w:tc>
        <w:tc>
          <w:tcPr>
            <w:tcW w:w="2805" w:type="dxa"/>
            <w:tcBorders>
              <w:top w:val="nil"/>
              <w:left w:val="nil"/>
              <w:bottom w:val="single" w:color="auto" w:sz="4" w:space="0"/>
              <w:right w:val="single" w:color="auto" w:sz="4" w:space="0"/>
            </w:tcBorders>
            <w:shd w:val="clear" w:color="auto" w:fill="auto"/>
            <w:noWrap/>
            <w:vAlign w:val="center"/>
          </w:tcPr>
          <w:p>
            <w:pPr>
              <w:spacing w:line="240" w:lineRule="exact"/>
              <w:jc w:val="center"/>
              <w:rPr>
                <w:szCs w:val="24"/>
              </w:rPr>
            </w:pPr>
          </w:p>
        </w:tc>
      </w:tr>
      <w:tr>
        <w:tblPrEx>
          <w:tblCellMar>
            <w:top w:w="0" w:type="dxa"/>
            <w:left w:w="108" w:type="dxa"/>
            <w:bottom w:w="0" w:type="dxa"/>
            <w:right w:w="108" w:type="dxa"/>
          </w:tblCellMar>
        </w:tblPrEx>
        <w:trPr>
          <w:trHeight w:val="340" w:hRule="atLeast"/>
          <w:jc w:val="center"/>
        </w:trPr>
        <w:tc>
          <w:tcPr>
            <w:tcW w:w="1018" w:type="dxa"/>
            <w:tcBorders>
              <w:top w:val="nil"/>
              <w:left w:val="single" w:color="auto" w:sz="4" w:space="0"/>
              <w:bottom w:val="single" w:color="auto" w:sz="4" w:space="0"/>
              <w:right w:val="single" w:color="auto" w:sz="4" w:space="0"/>
            </w:tcBorders>
            <w:shd w:val="clear" w:color="auto" w:fill="auto"/>
            <w:noWrap/>
            <w:vAlign w:val="center"/>
          </w:tcPr>
          <w:p>
            <w:pPr>
              <w:spacing w:line="240" w:lineRule="exact"/>
              <w:jc w:val="center"/>
              <w:rPr>
                <w:szCs w:val="24"/>
              </w:rPr>
            </w:pPr>
          </w:p>
        </w:tc>
        <w:tc>
          <w:tcPr>
            <w:tcW w:w="3440" w:type="dxa"/>
            <w:tcBorders>
              <w:top w:val="nil"/>
              <w:left w:val="nil"/>
              <w:bottom w:val="single" w:color="auto" w:sz="4" w:space="0"/>
              <w:right w:val="single" w:color="auto" w:sz="4" w:space="0"/>
            </w:tcBorders>
            <w:shd w:val="clear" w:color="auto" w:fill="auto"/>
            <w:noWrap/>
            <w:vAlign w:val="center"/>
          </w:tcPr>
          <w:p>
            <w:pPr>
              <w:spacing w:line="240" w:lineRule="exact"/>
              <w:jc w:val="center"/>
              <w:rPr>
                <w:szCs w:val="24"/>
              </w:rPr>
            </w:pPr>
            <w:r>
              <w:rPr>
                <w:szCs w:val="24"/>
              </w:rPr>
              <w:t>总      计</w:t>
            </w:r>
          </w:p>
        </w:tc>
        <w:tc>
          <w:tcPr>
            <w:tcW w:w="1873" w:type="dxa"/>
            <w:tcBorders>
              <w:top w:val="nil"/>
              <w:left w:val="nil"/>
              <w:bottom w:val="single" w:color="auto" w:sz="4" w:space="0"/>
              <w:right w:val="single" w:color="auto" w:sz="4" w:space="0"/>
            </w:tcBorders>
            <w:shd w:val="clear" w:color="auto" w:fill="auto"/>
            <w:noWrap/>
            <w:vAlign w:val="center"/>
          </w:tcPr>
          <w:p>
            <w:pPr>
              <w:spacing w:line="240" w:lineRule="exact"/>
              <w:jc w:val="center"/>
              <w:rPr>
                <w:szCs w:val="24"/>
              </w:rPr>
            </w:pPr>
            <w:r>
              <w:rPr>
                <w:rFonts w:hint="eastAsia"/>
                <w:szCs w:val="24"/>
              </w:rPr>
              <w:t>68.83</w:t>
            </w:r>
          </w:p>
        </w:tc>
        <w:tc>
          <w:tcPr>
            <w:tcW w:w="2805" w:type="dxa"/>
            <w:tcBorders>
              <w:top w:val="nil"/>
              <w:left w:val="nil"/>
              <w:bottom w:val="single" w:color="auto" w:sz="4" w:space="0"/>
              <w:right w:val="single" w:color="auto" w:sz="4" w:space="0"/>
            </w:tcBorders>
            <w:shd w:val="clear" w:color="auto" w:fill="auto"/>
            <w:noWrap/>
            <w:vAlign w:val="center"/>
          </w:tcPr>
          <w:p>
            <w:pPr>
              <w:spacing w:line="240" w:lineRule="exact"/>
              <w:jc w:val="center"/>
              <w:rPr>
                <w:szCs w:val="24"/>
              </w:rPr>
            </w:pPr>
            <w:r>
              <w:rPr>
                <w:szCs w:val="24"/>
              </w:rPr>
              <w:t xml:space="preserve">100.00 </w:t>
            </w:r>
          </w:p>
        </w:tc>
      </w:tr>
    </w:tbl>
    <w:p>
      <w:pPr>
        <w:snapToGrid w:val="0"/>
        <w:spacing w:line="340" w:lineRule="exact"/>
        <w:jc w:val="right"/>
        <w:rPr>
          <w:szCs w:val="24"/>
        </w:rPr>
      </w:pPr>
    </w:p>
    <w:p>
      <w:pPr>
        <w:pStyle w:val="2"/>
      </w:pPr>
    </w:p>
    <w:p>
      <w:pPr>
        <w:pStyle w:val="2"/>
      </w:pPr>
    </w:p>
    <w:p>
      <w:pPr>
        <w:pStyle w:val="2"/>
      </w:pPr>
    </w:p>
    <w:p>
      <w:pPr>
        <w:pStyle w:val="2"/>
      </w:pPr>
    </w:p>
    <w:p>
      <w:pPr>
        <w:pStyle w:val="2"/>
      </w:pPr>
    </w:p>
    <w:p>
      <w:pPr>
        <w:pStyle w:val="2"/>
      </w:pPr>
    </w:p>
    <w:p>
      <w:pPr>
        <w:pStyle w:val="2"/>
      </w:pPr>
    </w:p>
    <w:p>
      <w:pPr>
        <w:pStyle w:val="41"/>
        <w:numPr>
          <w:ilvl w:val="0"/>
          <w:numId w:val="0"/>
        </w:numPr>
        <w:spacing w:line="560" w:lineRule="exact"/>
        <w:rPr>
          <w:rFonts w:ascii="Times New Roman" w:eastAsia="宋体"/>
          <w:bCs/>
          <w:sz w:val="24"/>
          <w:szCs w:val="24"/>
        </w:rPr>
      </w:pPr>
      <w:r>
        <w:rPr>
          <w:rFonts w:ascii="Times New Roman" w:eastAsia="宋体"/>
          <w:bCs/>
          <w:sz w:val="24"/>
          <w:szCs w:val="24"/>
        </w:rPr>
        <w:t>其他费用估算表             表</w:t>
      </w:r>
      <w:r>
        <w:rPr>
          <w:rFonts w:hint="eastAsia" w:ascii="Times New Roman" w:eastAsia="宋体"/>
          <w:bCs/>
          <w:sz w:val="24"/>
          <w:szCs w:val="24"/>
        </w:rPr>
        <w:t>6-16</w:t>
      </w:r>
    </w:p>
    <w:p>
      <w:pPr>
        <w:snapToGrid w:val="0"/>
        <w:ind w:right="300"/>
        <w:jc w:val="right"/>
        <w:rPr>
          <w:kern w:val="0"/>
          <w:szCs w:val="24"/>
        </w:rPr>
      </w:pPr>
      <w:r>
        <w:rPr>
          <w:kern w:val="0"/>
          <w:szCs w:val="24"/>
        </w:rPr>
        <w:t>金额单位：万元</w:t>
      </w:r>
    </w:p>
    <w:tbl>
      <w:tblPr>
        <w:tblStyle w:val="21"/>
        <w:tblW w:w="4997" w:type="pct"/>
        <w:tblInd w:w="0" w:type="dxa"/>
        <w:tblLayout w:type="autofit"/>
        <w:tblCellMar>
          <w:top w:w="0" w:type="dxa"/>
          <w:left w:w="108" w:type="dxa"/>
          <w:bottom w:w="0" w:type="dxa"/>
          <w:right w:w="108" w:type="dxa"/>
        </w:tblCellMar>
      </w:tblPr>
      <w:tblGrid>
        <w:gridCol w:w="760"/>
        <w:gridCol w:w="2407"/>
        <w:gridCol w:w="1001"/>
        <w:gridCol w:w="1367"/>
        <w:gridCol w:w="3746"/>
      </w:tblGrid>
      <w:tr>
        <w:tblPrEx>
          <w:tblCellMar>
            <w:top w:w="0" w:type="dxa"/>
            <w:left w:w="108" w:type="dxa"/>
            <w:bottom w:w="0" w:type="dxa"/>
            <w:right w:w="108" w:type="dxa"/>
          </w:tblCellMar>
        </w:tblPrEx>
        <w:trPr>
          <w:trHeight w:val="705" w:hRule="atLeast"/>
        </w:trPr>
        <w:tc>
          <w:tcPr>
            <w:tcW w:w="410" w:type="pct"/>
            <w:tcBorders>
              <w:top w:val="single" w:color="auto" w:sz="8" w:space="0"/>
              <w:left w:val="single" w:color="auto" w:sz="8" w:space="0"/>
              <w:bottom w:val="single" w:color="000000" w:sz="8" w:space="0"/>
              <w:right w:val="single" w:color="auto" w:sz="8" w:space="0"/>
            </w:tcBorders>
            <w:noWrap/>
            <w:vAlign w:val="center"/>
          </w:tcPr>
          <w:p>
            <w:pPr>
              <w:widowControl/>
              <w:jc w:val="center"/>
              <w:rPr>
                <w:kern w:val="0"/>
                <w:szCs w:val="24"/>
              </w:rPr>
            </w:pPr>
            <w:r>
              <w:rPr>
                <w:kern w:val="0"/>
                <w:szCs w:val="24"/>
              </w:rPr>
              <w:t>序号</w:t>
            </w:r>
          </w:p>
        </w:tc>
        <w:tc>
          <w:tcPr>
            <w:tcW w:w="1296" w:type="pct"/>
            <w:tcBorders>
              <w:top w:val="single" w:color="auto" w:sz="8" w:space="0"/>
              <w:left w:val="nil"/>
              <w:bottom w:val="single" w:color="auto" w:sz="8" w:space="0"/>
              <w:right w:val="single" w:color="auto" w:sz="8" w:space="0"/>
            </w:tcBorders>
            <w:noWrap/>
            <w:vAlign w:val="center"/>
          </w:tcPr>
          <w:p>
            <w:pPr>
              <w:widowControl/>
              <w:jc w:val="center"/>
              <w:rPr>
                <w:kern w:val="0"/>
                <w:szCs w:val="24"/>
              </w:rPr>
            </w:pPr>
            <w:r>
              <w:rPr>
                <w:kern w:val="0"/>
                <w:szCs w:val="24"/>
              </w:rPr>
              <w:t>费用名称</w:t>
            </w:r>
          </w:p>
        </w:tc>
        <w:tc>
          <w:tcPr>
            <w:tcW w:w="539" w:type="pct"/>
            <w:tcBorders>
              <w:top w:val="single" w:color="auto" w:sz="8" w:space="0"/>
              <w:left w:val="nil"/>
              <w:bottom w:val="single" w:color="auto" w:sz="8" w:space="0"/>
              <w:right w:val="single" w:color="auto" w:sz="8" w:space="0"/>
            </w:tcBorders>
            <w:noWrap/>
            <w:vAlign w:val="center"/>
          </w:tcPr>
          <w:p>
            <w:pPr>
              <w:widowControl/>
              <w:jc w:val="center"/>
              <w:rPr>
                <w:kern w:val="0"/>
                <w:szCs w:val="24"/>
              </w:rPr>
            </w:pPr>
            <w:r>
              <w:rPr>
                <w:kern w:val="0"/>
                <w:szCs w:val="24"/>
              </w:rPr>
              <w:t>计算式</w:t>
            </w:r>
          </w:p>
        </w:tc>
        <w:tc>
          <w:tcPr>
            <w:tcW w:w="736" w:type="pct"/>
            <w:tcBorders>
              <w:top w:val="single" w:color="auto" w:sz="8" w:space="0"/>
              <w:left w:val="nil"/>
              <w:bottom w:val="single" w:color="auto" w:sz="8" w:space="0"/>
              <w:right w:val="single" w:color="auto" w:sz="8" w:space="0"/>
            </w:tcBorders>
            <w:vAlign w:val="center"/>
          </w:tcPr>
          <w:p>
            <w:pPr>
              <w:widowControl/>
              <w:jc w:val="center"/>
              <w:rPr>
                <w:kern w:val="0"/>
                <w:szCs w:val="24"/>
              </w:rPr>
            </w:pPr>
            <w:r>
              <w:rPr>
                <w:kern w:val="0"/>
                <w:szCs w:val="24"/>
              </w:rPr>
              <w:t>估算金额</w:t>
            </w:r>
          </w:p>
        </w:tc>
        <w:tc>
          <w:tcPr>
            <w:tcW w:w="2017" w:type="pct"/>
            <w:tcBorders>
              <w:top w:val="single" w:color="auto" w:sz="8" w:space="0"/>
              <w:left w:val="nil"/>
              <w:bottom w:val="single" w:color="auto" w:sz="8" w:space="0"/>
              <w:right w:val="single" w:color="auto" w:sz="8" w:space="0"/>
            </w:tcBorders>
            <w:vAlign w:val="center"/>
          </w:tcPr>
          <w:p>
            <w:pPr>
              <w:widowControl/>
              <w:jc w:val="center"/>
              <w:rPr>
                <w:kern w:val="0"/>
                <w:szCs w:val="24"/>
              </w:rPr>
            </w:pPr>
            <w:r>
              <w:rPr>
                <w:kern w:val="0"/>
                <w:szCs w:val="24"/>
              </w:rPr>
              <w:t>各项费用占其他费用的比例（%）</w:t>
            </w:r>
          </w:p>
        </w:tc>
      </w:tr>
      <w:tr>
        <w:tblPrEx>
          <w:tblCellMar>
            <w:top w:w="0" w:type="dxa"/>
            <w:left w:w="108" w:type="dxa"/>
            <w:bottom w:w="0" w:type="dxa"/>
            <w:right w:w="108" w:type="dxa"/>
          </w:tblCellMar>
        </w:tblPrEx>
        <w:trPr>
          <w:trHeight w:val="285" w:hRule="atLeast"/>
        </w:trPr>
        <w:tc>
          <w:tcPr>
            <w:tcW w:w="410" w:type="pct"/>
            <w:tcBorders>
              <w:top w:val="nil"/>
              <w:left w:val="single" w:color="auto" w:sz="8" w:space="0"/>
              <w:bottom w:val="single" w:color="auto" w:sz="8" w:space="0"/>
              <w:right w:val="single" w:color="auto" w:sz="8" w:space="0"/>
            </w:tcBorders>
            <w:noWrap/>
            <w:vAlign w:val="center"/>
          </w:tcPr>
          <w:p>
            <w:pPr>
              <w:widowControl/>
              <w:spacing w:line="240" w:lineRule="exact"/>
              <w:jc w:val="center"/>
              <w:rPr>
                <w:kern w:val="0"/>
                <w:szCs w:val="24"/>
              </w:rPr>
            </w:pPr>
            <w:r>
              <w:rPr>
                <w:kern w:val="0"/>
                <w:szCs w:val="24"/>
              </w:rPr>
              <w:t>1</w:t>
            </w:r>
          </w:p>
        </w:tc>
        <w:tc>
          <w:tcPr>
            <w:tcW w:w="1296" w:type="pct"/>
            <w:tcBorders>
              <w:top w:val="nil"/>
              <w:left w:val="nil"/>
              <w:bottom w:val="single" w:color="auto" w:sz="8" w:space="0"/>
              <w:right w:val="single" w:color="auto" w:sz="8" w:space="0"/>
            </w:tcBorders>
            <w:noWrap/>
            <w:vAlign w:val="center"/>
          </w:tcPr>
          <w:p>
            <w:pPr>
              <w:widowControl/>
              <w:spacing w:line="240" w:lineRule="exact"/>
              <w:jc w:val="center"/>
              <w:rPr>
                <w:kern w:val="0"/>
                <w:szCs w:val="24"/>
              </w:rPr>
            </w:pPr>
            <w:r>
              <w:rPr>
                <w:kern w:val="0"/>
                <w:szCs w:val="24"/>
              </w:rPr>
              <w:t>季报制度费用</w:t>
            </w:r>
          </w:p>
        </w:tc>
        <w:tc>
          <w:tcPr>
            <w:tcW w:w="539" w:type="pct"/>
            <w:tcBorders>
              <w:top w:val="nil"/>
              <w:left w:val="nil"/>
              <w:bottom w:val="single" w:color="auto" w:sz="8" w:space="0"/>
              <w:right w:val="single" w:color="auto" w:sz="8" w:space="0"/>
            </w:tcBorders>
            <w:noWrap/>
            <w:vAlign w:val="center"/>
          </w:tcPr>
          <w:p>
            <w:pPr>
              <w:spacing w:line="240" w:lineRule="exact"/>
              <w:jc w:val="center"/>
              <w:rPr>
                <w:szCs w:val="24"/>
              </w:rPr>
            </w:pPr>
            <w:r>
              <w:rPr>
                <w:rFonts w:hint="eastAsia"/>
                <w:szCs w:val="24"/>
              </w:rPr>
              <w:t>6*</w:t>
            </w:r>
            <w:r>
              <w:rPr>
                <w:szCs w:val="24"/>
              </w:rPr>
              <w:t>4</w:t>
            </w:r>
            <w:r>
              <w:rPr>
                <w:rFonts w:hint="eastAsia"/>
                <w:szCs w:val="24"/>
              </w:rPr>
              <w:t>*</w:t>
            </w:r>
            <w:r>
              <w:rPr>
                <w:szCs w:val="24"/>
              </w:rPr>
              <w:t>1</w:t>
            </w:r>
          </w:p>
        </w:tc>
        <w:tc>
          <w:tcPr>
            <w:tcW w:w="736" w:type="pct"/>
            <w:tcBorders>
              <w:top w:val="nil"/>
              <w:left w:val="nil"/>
              <w:bottom w:val="single" w:color="auto" w:sz="8" w:space="0"/>
              <w:right w:val="single" w:color="auto" w:sz="8" w:space="0"/>
            </w:tcBorders>
            <w:noWrap/>
            <w:vAlign w:val="center"/>
          </w:tcPr>
          <w:p>
            <w:pPr>
              <w:spacing w:line="240" w:lineRule="exact"/>
              <w:jc w:val="center"/>
              <w:rPr>
                <w:szCs w:val="24"/>
              </w:rPr>
            </w:pPr>
            <w:r>
              <w:rPr>
                <w:rFonts w:hint="eastAsia"/>
                <w:szCs w:val="24"/>
              </w:rPr>
              <w:t>24</w:t>
            </w:r>
          </w:p>
        </w:tc>
        <w:tc>
          <w:tcPr>
            <w:tcW w:w="2017" w:type="pct"/>
            <w:tcBorders>
              <w:top w:val="nil"/>
              <w:left w:val="nil"/>
              <w:bottom w:val="single" w:color="auto" w:sz="8" w:space="0"/>
              <w:right w:val="single" w:color="auto" w:sz="8" w:space="0"/>
            </w:tcBorders>
            <w:noWrap/>
            <w:vAlign w:val="center"/>
          </w:tcPr>
          <w:p>
            <w:pPr>
              <w:jc w:val="center"/>
              <w:rPr>
                <w:szCs w:val="24"/>
              </w:rPr>
            </w:pPr>
            <w:r>
              <w:rPr>
                <w:rFonts w:hint="eastAsia"/>
                <w:szCs w:val="24"/>
              </w:rPr>
              <w:t>66.67</w:t>
            </w:r>
          </w:p>
        </w:tc>
      </w:tr>
      <w:tr>
        <w:tblPrEx>
          <w:tblCellMar>
            <w:top w:w="0" w:type="dxa"/>
            <w:left w:w="108" w:type="dxa"/>
            <w:bottom w:w="0" w:type="dxa"/>
            <w:right w:w="108" w:type="dxa"/>
          </w:tblCellMar>
        </w:tblPrEx>
        <w:trPr>
          <w:trHeight w:val="285" w:hRule="atLeast"/>
        </w:trPr>
        <w:tc>
          <w:tcPr>
            <w:tcW w:w="410" w:type="pct"/>
            <w:tcBorders>
              <w:top w:val="nil"/>
              <w:left w:val="single" w:color="auto" w:sz="8" w:space="0"/>
              <w:bottom w:val="single" w:color="auto" w:sz="8" w:space="0"/>
              <w:right w:val="single" w:color="auto" w:sz="8" w:space="0"/>
            </w:tcBorders>
            <w:noWrap/>
            <w:vAlign w:val="center"/>
          </w:tcPr>
          <w:p>
            <w:pPr>
              <w:widowControl/>
              <w:spacing w:line="240" w:lineRule="exact"/>
              <w:jc w:val="center"/>
              <w:rPr>
                <w:kern w:val="0"/>
                <w:szCs w:val="24"/>
              </w:rPr>
            </w:pPr>
            <w:r>
              <w:rPr>
                <w:kern w:val="0"/>
                <w:szCs w:val="24"/>
              </w:rPr>
              <w:t>2</w:t>
            </w:r>
          </w:p>
        </w:tc>
        <w:tc>
          <w:tcPr>
            <w:tcW w:w="1296" w:type="pct"/>
            <w:tcBorders>
              <w:top w:val="nil"/>
              <w:left w:val="nil"/>
              <w:bottom w:val="single" w:color="auto" w:sz="8" w:space="0"/>
              <w:right w:val="single" w:color="auto" w:sz="8" w:space="0"/>
            </w:tcBorders>
            <w:noWrap/>
            <w:vAlign w:val="center"/>
          </w:tcPr>
          <w:p>
            <w:pPr>
              <w:widowControl/>
              <w:spacing w:line="240" w:lineRule="exact"/>
              <w:jc w:val="center"/>
              <w:rPr>
                <w:kern w:val="0"/>
                <w:szCs w:val="24"/>
              </w:rPr>
            </w:pPr>
            <w:r>
              <w:rPr>
                <w:kern w:val="0"/>
                <w:szCs w:val="24"/>
              </w:rPr>
              <w:t>年审申报制度费用</w:t>
            </w:r>
          </w:p>
        </w:tc>
        <w:tc>
          <w:tcPr>
            <w:tcW w:w="539" w:type="pct"/>
            <w:tcBorders>
              <w:top w:val="nil"/>
              <w:left w:val="nil"/>
              <w:bottom w:val="single" w:color="auto" w:sz="8" w:space="0"/>
              <w:right w:val="single" w:color="auto" w:sz="8" w:space="0"/>
            </w:tcBorders>
            <w:noWrap/>
            <w:vAlign w:val="center"/>
          </w:tcPr>
          <w:p>
            <w:pPr>
              <w:spacing w:line="240" w:lineRule="exact"/>
              <w:jc w:val="center"/>
              <w:rPr>
                <w:szCs w:val="24"/>
              </w:rPr>
            </w:pPr>
            <w:r>
              <w:rPr>
                <w:rFonts w:hint="eastAsia"/>
                <w:szCs w:val="24"/>
              </w:rPr>
              <w:t>6*</w:t>
            </w:r>
            <w:r>
              <w:rPr>
                <w:szCs w:val="24"/>
              </w:rPr>
              <w:t>2</w:t>
            </w:r>
          </w:p>
        </w:tc>
        <w:tc>
          <w:tcPr>
            <w:tcW w:w="736" w:type="pct"/>
            <w:tcBorders>
              <w:top w:val="nil"/>
              <w:left w:val="nil"/>
              <w:bottom w:val="single" w:color="auto" w:sz="8" w:space="0"/>
              <w:right w:val="single" w:color="auto" w:sz="8" w:space="0"/>
            </w:tcBorders>
            <w:noWrap/>
            <w:vAlign w:val="center"/>
          </w:tcPr>
          <w:p>
            <w:pPr>
              <w:spacing w:line="240" w:lineRule="exact"/>
              <w:jc w:val="center"/>
              <w:rPr>
                <w:szCs w:val="24"/>
              </w:rPr>
            </w:pPr>
            <w:r>
              <w:rPr>
                <w:rFonts w:hint="eastAsia"/>
                <w:szCs w:val="24"/>
              </w:rPr>
              <w:t>12</w:t>
            </w:r>
          </w:p>
        </w:tc>
        <w:tc>
          <w:tcPr>
            <w:tcW w:w="2017" w:type="pct"/>
            <w:tcBorders>
              <w:top w:val="nil"/>
              <w:left w:val="nil"/>
              <w:bottom w:val="single" w:color="auto" w:sz="8" w:space="0"/>
              <w:right w:val="single" w:color="auto" w:sz="8" w:space="0"/>
            </w:tcBorders>
            <w:noWrap/>
            <w:vAlign w:val="center"/>
          </w:tcPr>
          <w:p>
            <w:pPr>
              <w:jc w:val="center"/>
              <w:rPr>
                <w:szCs w:val="24"/>
              </w:rPr>
            </w:pPr>
            <w:r>
              <w:rPr>
                <w:rFonts w:hint="eastAsia"/>
                <w:szCs w:val="24"/>
              </w:rPr>
              <w:t>33.33</w:t>
            </w:r>
          </w:p>
        </w:tc>
      </w:tr>
      <w:tr>
        <w:tblPrEx>
          <w:tblCellMar>
            <w:top w:w="0" w:type="dxa"/>
            <w:left w:w="108" w:type="dxa"/>
            <w:bottom w:w="0" w:type="dxa"/>
            <w:right w:w="108" w:type="dxa"/>
          </w:tblCellMar>
        </w:tblPrEx>
        <w:trPr>
          <w:trHeight w:val="285" w:hRule="atLeast"/>
        </w:trPr>
        <w:tc>
          <w:tcPr>
            <w:tcW w:w="410" w:type="pct"/>
            <w:tcBorders>
              <w:top w:val="nil"/>
              <w:left w:val="single" w:color="auto" w:sz="8" w:space="0"/>
              <w:bottom w:val="single" w:color="auto" w:sz="8" w:space="0"/>
              <w:right w:val="single" w:color="auto" w:sz="8" w:space="0"/>
            </w:tcBorders>
            <w:noWrap/>
            <w:vAlign w:val="center"/>
          </w:tcPr>
          <w:p>
            <w:pPr>
              <w:widowControl/>
              <w:jc w:val="center"/>
              <w:rPr>
                <w:kern w:val="0"/>
                <w:szCs w:val="24"/>
              </w:rPr>
            </w:pPr>
          </w:p>
        </w:tc>
        <w:tc>
          <w:tcPr>
            <w:tcW w:w="1296" w:type="pct"/>
            <w:tcBorders>
              <w:top w:val="nil"/>
              <w:left w:val="nil"/>
              <w:bottom w:val="single" w:color="auto" w:sz="8" w:space="0"/>
              <w:right w:val="single" w:color="auto" w:sz="8" w:space="0"/>
            </w:tcBorders>
            <w:noWrap/>
            <w:vAlign w:val="center"/>
          </w:tcPr>
          <w:p>
            <w:pPr>
              <w:widowControl/>
              <w:jc w:val="center"/>
              <w:rPr>
                <w:kern w:val="0"/>
                <w:szCs w:val="24"/>
              </w:rPr>
            </w:pPr>
            <w:r>
              <w:rPr>
                <w:kern w:val="0"/>
                <w:szCs w:val="24"/>
              </w:rPr>
              <w:t>总      计</w:t>
            </w:r>
          </w:p>
        </w:tc>
        <w:tc>
          <w:tcPr>
            <w:tcW w:w="539" w:type="pct"/>
            <w:tcBorders>
              <w:top w:val="nil"/>
              <w:left w:val="nil"/>
              <w:bottom w:val="single" w:color="auto" w:sz="8" w:space="0"/>
              <w:right w:val="single" w:color="auto" w:sz="8" w:space="0"/>
            </w:tcBorders>
            <w:noWrap/>
            <w:vAlign w:val="center"/>
          </w:tcPr>
          <w:p>
            <w:pPr>
              <w:widowControl/>
              <w:jc w:val="center"/>
              <w:rPr>
                <w:kern w:val="0"/>
                <w:szCs w:val="24"/>
              </w:rPr>
            </w:pPr>
          </w:p>
        </w:tc>
        <w:tc>
          <w:tcPr>
            <w:tcW w:w="736" w:type="pct"/>
            <w:tcBorders>
              <w:top w:val="nil"/>
              <w:left w:val="nil"/>
              <w:bottom w:val="single" w:color="auto" w:sz="8" w:space="0"/>
              <w:right w:val="single" w:color="auto" w:sz="8" w:space="0"/>
            </w:tcBorders>
            <w:noWrap/>
            <w:vAlign w:val="center"/>
          </w:tcPr>
          <w:p>
            <w:pPr>
              <w:widowControl/>
              <w:jc w:val="center"/>
              <w:rPr>
                <w:b/>
                <w:bCs/>
                <w:kern w:val="0"/>
                <w:szCs w:val="24"/>
              </w:rPr>
            </w:pPr>
            <w:r>
              <w:rPr>
                <w:b/>
                <w:bCs/>
                <w:kern w:val="0"/>
                <w:szCs w:val="24"/>
              </w:rPr>
              <w:fldChar w:fldCharType="begin"/>
            </w:r>
            <w:r>
              <w:rPr>
                <w:b/>
                <w:bCs/>
                <w:kern w:val="0"/>
                <w:szCs w:val="24"/>
              </w:rPr>
              <w:instrText xml:space="preserve"> =SUM(ABOVE) </w:instrText>
            </w:r>
            <w:r>
              <w:rPr>
                <w:b/>
                <w:bCs/>
                <w:kern w:val="0"/>
                <w:szCs w:val="24"/>
              </w:rPr>
              <w:fldChar w:fldCharType="separate"/>
            </w:r>
            <w:r>
              <w:rPr>
                <w:b/>
                <w:bCs/>
                <w:kern w:val="0"/>
                <w:szCs w:val="24"/>
              </w:rPr>
              <w:t>36</w:t>
            </w:r>
            <w:r>
              <w:rPr>
                <w:b/>
                <w:bCs/>
                <w:kern w:val="0"/>
                <w:szCs w:val="24"/>
              </w:rPr>
              <w:fldChar w:fldCharType="end"/>
            </w:r>
          </w:p>
        </w:tc>
        <w:tc>
          <w:tcPr>
            <w:tcW w:w="2017" w:type="pct"/>
            <w:tcBorders>
              <w:top w:val="nil"/>
              <w:left w:val="nil"/>
              <w:bottom w:val="single" w:color="auto" w:sz="8" w:space="0"/>
              <w:right w:val="single" w:color="auto" w:sz="8" w:space="0"/>
            </w:tcBorders>
            <w:noWrap/>
            <w:vAlign w:val="center"/>
          </w:tcPr>
          <w:p>
            <w:pPr>
              <w:widowControl/>
              <w:jc w:val="center"/>
              <w:rPr>
                <w:kern w:val="0"/>
                <w:szCs w:val="24"/>
              </w:rPr>
            </w:pPr>
            <w:r>
              <w:rPr>
                <w:kern w:val="0"/>
                <w:szCs w:val="24"/>
              </w:rPr>
              <w:t>100</w:t>
            </w:r>
          </w:p>
        </w:tc>
      </w:tr>
    </w:tbl>
    <w:p>
      <w:pPr>
        <w:pStyle w:val="41"/>
        <w:numPr>
          <w:ilvl w:val="0"/>
          <w:numId w:val="0"/>
        </w:numPr>
        <w:spacing w:line="560" w:lineRule="exact"/>
        <w:rPr>
          <w:rFonts w:ascii="Times New Roman" w:eastAsia="宋体"/>
          <w:bCs/>
          <w:sz w:val="24"/>
          <w:szCs w:val="24"/>
        </w:rPr>
      </w:pPr>
      <w:r>
        <w:rPr>
          <w:rFonts w:ascii="Times New Roman" w:eastAsia="宋体"/>
          <w:bCs/>
          <w:sz w:val="24"/>
          <w:szCs w:val="24"/>
        </w:rPr>
        <w:t>监测费估算表             表</w:t>
      </w:r>
      <w:r>
        <w:rPr>
          <w:rFonts w:hint="eastAsia" w:ascii="Times New Roman" w:eastAsia="宋体"/>
          <w:bCs/>
          <w:sz w:val="24"/>
          <w:szCs w:val="24"/>
        </w:rPr>
        <w:t>6-17</w:t>
      </w:r>
    </w:p>
    <w:p>
      <w:pPr>
        <w:snapToGrid w:val="0"/>
        <w:jc w:val="right"/>
        <w:rPr>
          <w:szCs w:val="24"/>
        </w:rPr>
      </w:pPr>
      <w:r>
        <w:rPr>
          <w:kern w:val="0"/>
          <w:szCs w:val="24"/>
        </w:rPr>
        <w:t>金额单位：元</w:t>
      </w:r>
    </w:p>
    <w:tbl>
      <w:tblPr>
        <w:tblStyle w:val="21"/>
        <w:tblW w:w="498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8"/>
        <w:gridCol w:w="1412"/>
        <w:gridCol w:w="718"/>
        <w:gridCol w:w="1090"/>
        <w:gridCol w:w="969"/>
        <w:gridCol w:w="1107"/>
        <w:gridCol w:w="953"/>
        <w:gridCol w:w="1107"/>
        <w:gridCol w:w="13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285" w:type="pct"/>
            <w:vAlign w:val="center"/>
          </w:tcPr>
          <w:p>
            <w:pPr>
              <w:widowControl/>
              <w:jc w:val="center"/>
              <w:rPr>
                <w:kern w:val="0"/>
                <w:szCs w:val="24"/>
              </w:rPr>
            </w:pPr>
            <w:r>
              <w:rPr>
                <w:kern w:val="0"/>
                <w:szCs w:val="24"/>
              </w:rPr>
              <w:t>序号</w:t>
            </w:r>
          </w:p>
        </w:tc>
        <w:tc>
          <w:tcPr>
            <w:tcW w:w="765" w:type="pct"/>
            <w:vAlign w:val="center"/>
          </w:tcPr>
          <w:p>
            <w:pPr>
              <w:widowControl/>
              <w:jc w:val="center"/>
              <w:rPr>
                <w:kern w:val="0"/>
                <w:szCs w:val="24"/>
              </w:rPr>
            </w:pPr>
            <w:r>
              <w:rPr>
                <w:kern w:val="0"/>
                <w:szCs w:val="24"/>
              </w:rPr>
              <w:t>工程或费用名称</w:t>
            </w:r>
          </w:p>
        </w:tc>
        <w:tc>
          <w:tcPr>
            <w:tcW w:w="391" w:type="pct"/>
            <w:vAlign w:val="center"/>
          </w:tcPr>
          <w:p>
            <w:pPr>
              <w:widowControl/>
              <w:jc w:val="center"/>
              <w:rPr>
                <w:kern w:val="0"/>
                <w:szCs w:val="24"/>
              </w:rPr>
            </w:pPr>
            <w:r>
              <w:rPr>
                <w:kern w:val="0"/>
                <w:szCs w:val="24"/>
              </w:rPr>
              <w:t>单位</w:t>
            </w:r>
          </w:p>
        </w:tc>
        <w:tc>
          <w:tcPr>
            <w:tcW w:w="591" w:type="pct"/>
            <w:vAlign w:val="center"/>
          </w:tcPr>
          <w:p>
            <w:pPr>
              <w:widowControl/>
              <w:jc w:val="center"/>
              <w:rPr>
                <w:kern w:val="0"/>
                <w:szCs w:val="24"/>
              </w:rPr>
            </w:pPr>
            <w:r>
              <w:rPr>
                <w:kern w:val="0"/>
                <w:szCs w:val="24"/>
              </w:rPr>
              <w:t>工程量</w:t>
            </w:r>
          </w:p>
        </w:tc>
        <w:tc>
          <w:tcPr>
            <w:tcW w:w="526" w:type="pct"/>
            <w:vAlign w:val="center"/>
          </w:tcPr>
          <w:p>
            <w:pPr>
              <w:widowControl/>
              <w:jc w:val="center"/>
              <w:rPr>
                <w:kern w:val="0"/>
                <w:szCs w:val="24"/>
              </w:rPr>
            </w:pPr>
            <w:r>
              <w:rPr>
                <w:kern w:val="0"/>
                <w:szCs w:val="24"/>
              </w:rPr>
              <w:t>时间（年）</w:t>
            </w:r>
          </w:p>
        </w:tc>
        <w:tc>
          <w:tcPr>
            <w:tcW w:w="600" w:type="pct"/>
            <w:vAlign w:val="center"/>
          </w:tcPr>
          <w:p>
            <w:pPr>
              <w:widowControl/>
              <w:jc w:val="center"/>
              <w:rPr>
                <w:kern w:val="0"/>
                <w:szCs w:val="24"/>
              </w:rPr>
            </w:pPr>
            <w:r>
              <w:rPr>
                <w:kern w:val="0"/>
                <w:szCs w:val="24"/>
              </w:rPr>
              <w:t>次数（次/年）</w:t>
            </w:r>
          </w:p>
        </w:tc>
        <w:tc>
          <w:tcPr>
            <w:tcW w:w="517" w:type="pct"/>
            <w:vAlign w:val="center"/>
          </w:tcPr>
          <w:p>
            <w:pPr>
              <w:widowControl/>
              <w:jc w:val="center"/>
              <w:rPr>
                <w:kern w:val="0"/>
                <w:szCs w:val="24"/>
              </w:rPr>
            </w:pPr>
            <w:r>
              <w:rPr>
                <w:kern w:val="0"/>
                <w:szCs w:val="24"/>
              </w:rPr>
              <w:t>人工工日</w:t>
            </w:r>
          </w:p>
        </w:tc>
        <w:tc>
          <w:tcPr>
            <w:tcW w:w="600" w:type="pct"/>
            <w:vAlign w:val="center"/>
          </w:tcPr>
          <w:p>
            <w:pPr>
              <w:widowControl/>
              <w:jc w:val="center"/>
              <w:rPr>
                <w:kern w:val="0"/>
                <w:szCs w:val="24"/>
              </w:rPr>
            </w:pPr>
            <w:r>
              <w:rPr>
                <w:kern w:val="0"/>
                <w:szCs w:val="24"/>
              </w:rPr>
              <w:t>单价（元）</w:t>
            </w:r>
          </w:p>
        </w:tc>
        <w:tc>
          <w:tcPr>
            <w:tcW w:w="719" w:type="pct"/>
            <w:vAlign w:val="center"/>
          </w:tcPr>
          <w:p>
            <w:pPr>
              <w:widowControl/>
              <w:jc w:val="center"/>
              <w:rPr>
                <w:kern w:val="0"/>
                <w:szCs w:val="24"/>
              </w:rPr>
            </w:pPr>
            <w:r>
              <w:rPr>
                <w:kern w:val="0"/>
                <w:szCs w:val="24"/>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85" w:type="pct"/>
            <w:vAlign w:val="center"/>
          </w:tcPr>
          <w:p>
            <w:pPr>
              <w:widowControl/>
              <w:spacing w:line="240" w:lineRule="exact"/>
              <w:jc w:val="center"/>
              <w:rPr>
                <w:kern w:val="0"/>
                <w:szCs w:val="24"/>
              </w:rPr>
            </w:pPr>
            <w:r>
              <w:rPr>
                <w:kern w:val="0"/>
                <w:szCs w:val="24"/>
              </w:rPr>
              <w:t>1</w:t>
            </w:r>
          </w:p>
        </w:tc>
        <w:tc>
          <w:tcPr>
            <w:tcW w:w="765" w:type="pct"/>
            <w:vAlign w:val="center"/>
          </w:tcPr>
          <w:p>
            <w:pPr>
              <w:widowControl/>
              <w:spacing w:line="240" w:lineRule="exact"/>
              <w:jc w:val="center"/>
              <w:rPr>
                <w:kern w:val="0"/>
                <w:szCs w:val="24"/>
              </w:rPr>
            </w:pPr>
            <w:r>
              <w:rPr>
                <w:kern w:val="0"/>
                <w:szCs w:val="24"/>
              </w:rPr>
              <w:t>环境污染监测费用</w:t>
            </w:r>
          </w:p>
        </w:tc>
        <w:tc>
          <w:tcPr>
            <w:tcW w:w="391" w:type="pct"/>
            <w:vAlign w:val="center"/>
          </w:tcPr>
          <w:p>
            <w:pPr>
              <w:widowControl/>
              <w:jc w:val="center"/>
              <w:rPr>
                <w:kern w:val="0"/>
                <w:szCs w:val="24"/>
              </w:rPr>
            </w:pPr>
            <w:r>
              <w:rPr>
                <w:kern w:val="0"/>
                <w:szCs w:val="24"/>
              </w:rPr>
              <w:t>　</w:t>
            </w:r>
          </w:p>
        </w:tc>
        <w:tc>
          <w:tcPr>
            <w:tcW w:w="591" w:type="pct"/>
            <w:vAlign w:val="center"/>
          </w:tcPr>
          <w:p>
            <w:pPr>
              <w:widowControl/>
              <w:jc w:val="center"/>
              <w:rPr>
                <w:kern w:val="0"/>
                <w:szCs w:val="24"/>
              </w:rPr>
            </w:pPr>
            <w:r>
              <w:rPr>
                <w:kern w:val="0"/>
                <w:szCs w:val="24"/>
              </w:rPr>
              <w:t>　</w:t>
            </w:r>
          </w:p>
        </w:tc>
        <w:tc>
          <w:tcPr>
            <w:tcW w:w="526" w:type="pct"/>
            <w:vAlign w:val="center"/>
          </w:tcPr>
          <w:p>
            <w:pPr>
              <w:widowControl/>
              <w:jc w:val="center"/>
              <w:rPr>
                <w:kern w:val="0"/>
                <w:szCs w:val="24"/>
              </w:rPr>
            </w:pPr>
            <w:r>
              <w:rPr>
                <w:kern w:val="0"/>
                <w:szCs w:val="24"/>
              </w:rPr>
              <w:t>　</w:t>
            </w:r>
          </w:p>
        </w:tc>
        <w:tc>
          <w:tcPr>
            <w:tcW w:w="600" w:type="pct"/>
            <w:vAlign w:val="center"/>
          </w:tcPr>
          <w:p>
            <w:pPr>
              <w:widowControl/>
              <w:jc w:val="center"/>
              <w:rPr>
                <w:kern w:val="0"/>
                <w:szCs w:val="24"/>
              </w:rPr>
            </w:pPr>
            <w:r>
              <w:rPr>
                <w:kern w:val="0"/>
                <w:szCs w:val="24"/>
              </w:rPr>
              <w:t>　</w:t>
            </w:r>
          </w:p>
        </w:tc>
        <w:tc>
          <w:tcPr>
            <w:tcW w:w="517" w:type="pct"/>
            <w:vAlign w:val="center"/>
          </w:tcPr>
          <w:p>
            <w:pPr>
              <w:widowControl/>
              <w:jc w:val="center"/>
              <w:rPr>
                <w:kern w:val="0"/>
                <w:szCs w:val="24"/>
              </w:rPr>
            </w:pPr>
            <w:r>
              <w:rPr>
                <w:kern w:val="0"/>
                <w:szCs w:val="24"/>
              </w:rPr>
              <w:t>　</w:t>
            </w:r>
          </w:p>
        </w:tc>
        <w:tc>
          <w:tcPr>
            <w:tcW w:w="600" w:type="pct"/>
            <w:vAlign w:val="center"/>
          </w:tcPr>
          <w:p>
            <w:pPr>
              <w:widowControl/>
              <w:jc w:val="center"/>
              <w:rPr>
                <w:kern w:val="0"/>
                <w:szCs w:val="24"/>
              </w:rPr>
            </w:pPr>
            <w:r>
              <w:rPr>
                <w:kern w:val="0"/>
                <w:szCs w:val="24"/>
              </w:rPr>
              <w:t>　</w:t>
            </w:r>
          </w:p>
        </w:tc>
        <w:tc>
          <w:tcPr>
            <w:tcW w:w="719" w:type="pct"/>
            <w:vAlign w:val="center"/>
          </w:tcPr>
          <w:p>
            <w:pPr>
              <w:widowControl/>
              <w:jc w:val="center"/>
              <w:rPr>
                <w:kern w:val="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85" w:type="pct"/>
            <w:vAlign w:val="center"/>
          </w:tcPr>
          <w:p>
            <w:pPr>
              <w:widowControl/>
              <w:spacing w:line="240" w:lineRule="exact"/>
              <w:jc w:val="center"/>
              <w:rPr>
                <w:kern w:val="0"/>
                <w:szCs w:val="24"/>
              </w:rPr>
            </w:pPr>
            <w:r>
              <w:rPr>
                <w:kern w:val="0"/>
                <w:szCs w:val="24"/>
              </w:rPr>
              <w:t>1）</w:t>
            </w:r>
          </w:p>
        </w:tc>
        <w:tc>
          <w:tcPr>
            <w:tcW w:w="765" w:type="pct"/>
            <w:vAlign w:val="center"/>
          </w:tcPr>
          <w:p>
            <w:pPr>
              <w:widowControl/>
              <w:spacing w:line="240" w:lineRule="exact"/>
              <w:jc w:val="center"/>
              <w:rPr>
                <w:kern w:val="0"/>
                <w:szCs w:val="24"/>
              </w:rPr>
            </w:pPr>
            <w:r>
              <w:rPr>
                <w:kern w:val="0"/>
                <w:szCs w:val="24"/>
              </w:rPr>
              <w:t>有组织粉尘</w:t>
            </w:r>
          </w:p>
        </w:tc>
        <w:tc>
          <w:tcPr>
            <w:tcW w:w="391" w:type="pct"/>
            <w:vAlign w:val="center"/>
          </w:tcPr>
          <w:p>
            <w:pPr>
              <w:widowControl/>
              <w:jc w:val="center"/>
              <w:rPr>
                <w:kern w:val="0"/>
                <w:szCs w:val="24"/>
              </w:rPr>
            </w:pPr>
            <w:r>
              <w:rPr>
                <w:kern w:val="0"/>
                <w:szCs w:val="24"/>
              </w:rPr>
              <w:t>个</w:t>
            </w:r>
          </w:p>
        </w:tc>
        <w:tc>
          <w:tcPr>
            <w:tcW w:w="591" w:type="pct"/>
            <w:vAlign w:val="center"/>
          </w:tcPr>
          <w:p>
            <w:pPr>
              <w:widowControl/>
              <w:jc w:val="center"/>
              <w:rPr>
                <w:kern w:val="0"/>
                <w:szCs w:val="24"/>
              </w:rPr>
            </w:pPr>
            <w:r>
              <w:rPr>
                <w:kern w:val="0"/>
                <w:szCs w:val="24"/>
              </w:rPr>
              <w:t>1</w:t>
            </w:r>
          </w:p>
        </w:tc>
        <w:tc>
          <w:tcPr>
            <w:tcW w:w="526" w:type="pct"/>
            <w:vAlign w:val="center"/>
          </w:tcPr>
          <w:p>
            <w:pPr>
              <w:widowControl/>
              <w:jc w:val="center"/>
              <w:rPr>
                <w:kern w:val="0"/>
                <w:szCs w:val="24"/>
              </w:rPr>
            </w:pPr>
            <w:r>
              <w:rPr>
                <w:kern w:val="0"/>
                <w:szCs w:val="24"/>
              </w:rPr>
              <w:t>6</w:t>
            </w:r>
          </w:p>
        </w:tc>
        <w:tc>
          <w:tcPr>
            <w:tcW w:w="600" w:type="pct"/>
            <w:vAlign w:val="center"/>
          </w:tcPr>
          <w:p>
            <w:pPr>
              <w:widowControl/>
              <w:jc w:val="center"/>
              <w:rPr>
                <w:kern w:val="0"/>
                <w:szCs w:val="24"/>
              </w:rPr>
            </w:pPr>
            <w:r>
              <w:rPr>
                <w:kern w:val="0"/>
                <w:szCs w:val="24"/>
              </w:rPr>
              <w:t>1</w:t>
            </w:r>
          </w:p>
        </w:tc>
        <w:tc>
          <w:tcPr>
            <w:tcW w:w="517" w:type="pct"/>
            <w:vAlign w:val="center"/>
          </w:tcPr>
          <w:p>
            <w:pPr>
              <w:widowControl/>
              <w:jc w:val="center"/>
              <w:rPr>
                <w:kern w:val="0"/>
                <w:szCs w:val="24"/>
              </w:rPr>
            </w:pPr>
            <w:r>
              <w:rPr>
                <w:kern w:val="0"/>
                <w:szCs w:val="24"/>
              </w:rPr>
              <w:t>/</w:t>
            </w:r>
          </w:p>
        </w:tc>
        <w:tc>
          <w:tcPr>
            <w:tcW w:w="600" w:type="pct"/>
            <w:vAlign w:val="center"/>
          </w:tcPr>
          <w:p>
            <w:pPr>
              <w:widowControl/>
              <w:jc w:val="center"/>
              <w:rPr>
                <w:kern w:val="0"/>
                <w:szCs w:val="24"/>
              </w:rPr>
            </w:pPr>
            <w:r>
              <w:rPr>
                <w:kern w:val="0"/>
                <w:szCs w:val="24"/>
              </w:rPr>
              <w:t>5000</w:t>
            </w:r>
          </w:p>
        </w:tc>
        <w:tc>
          <w:tcPr>
            <w:tcW w:w="719" w:type="pct"/>
            <w:vAlign w:val="center"/>
          </w:tcPr>
          <w:p>
            <w:pPr>
              <w:widowControl/>
              <w:jc w:val="center"/>
              <w:rPr>
                <w:kern w:val="0"/>
                <w:szCs w:val="24"/>
              </w:rPr>
            </w:pPr>
            <w:r>
              <w:rPr>
                <w:kern w:val="0"/>
                <w:szCs w:val="24"/>
              </w:rPr>
              <w:t>30000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85" w:type="pct"/>
            <w:vAlign w:val="center"/>
          </w:tcPr>
          <w:p>
            <w:pPr>
              <w:widowControl/>
              <w:spacing w:line="240" w:lineRule="exact"/>
              <w:jc w:val="center"/>
              <w:rPr>
                <w:kern w:val="0"/>
                <w:szCs w:val="24"/>
              </w:rPr>
            </w:pPr>
            <w:r>
              <w:rPr>
                <w:kern w:val="0"/>
                <w:szCs w:val="24"/>
              </w:rPr>
              <w:t>2）</w:t>
            </w:r>
          </w:p>
        </w:tc>
        <w:tc>
          <w:tcPr>
            <w:tcW w:w="765" w:type="pct"/>
            <w:vAlign w:val="center"/>
          </w:tcPr>
          <w:p>
            <w:pPr>
              <w:widowControl/>
              <w:spacing w:line="240" w:lineRule="exact"/>
              <w:jc w:val="center"/>
              <w:rPr>
                <w:kern w:val="0"/>
                <w:szCs w:val="24"/>
              </w:rPr>
            </w:pPr>
            <w:r>
              <w:rPr>
                <w:kern w:val="0"/>
                <w:szCs w:val="24"/>
              </w:rPr>
              <w:t>无组织粉尘</w:t>
            </w:r>
          </w:p>
        </w:tc>
        <w:tc>
          <w:tcPr>
            <w:tcW w:w="391" w:type="pct"/>
            <w:vAlign w:val="center"/>
          </w:tcPr>
          <w:p>
            <w:pPr>
              <w:widowControl/>
              <w:jc w:val="center"/>
              <w:rPr>
                <w:kern w:val="0"/>
                <w:szCs w:val="24"/>
              </w:rPr>
            </w:pPr>
            <w:r>
              <w:rPr>
                <w:kern w:val="0"/>
                <w:szCs w:val="24"/>
              </w:rPr>
              <w:t>个</w:t>
            </w:r>
          </w:p>
        </w:tc>
        <w:tc>
          <w:tcPr>
            <w:tcW w:w="591" w:type="pct"/>
            <w:vAlign w:val="center"/>
          </w:tcPr>
          <w:p>
            <w:pPr>
              <w:widowControl/>
              <w:jc w:val="center"/>
              <w:rPr>
                <w:kern w:val="0"/>
                <w:szCs w:val="24"/>
              </w:rPr>
            </w:pPr>
            <w:r>
              <w:rPr>
                <w:kern w:val="0"/>
                <w:szCs w:val="24"/>
              </w:rPr>
              <w:t>5</w:t>
            </w:r>
          </w:p>
        </w:tc>
        <w:tc>
          <w:tcPr>
            <w:tcW w:w="526" w:type="pct"/>
            <w:vAlign w:val="center"/>
          </w:tcPr>
          <w:p>
            <w:pPr>
              <w:widowControl/>
              <w:jc w:val="center"/>
              <w:rPr>
                <w:kern w:val="0"/>
                <w:szCs w:val="24"/>
              </w:rPr>
            </w:pPr>
            <w:r>
              <w:rPr>
                <w:kern w:val="0"/>
                <w:szCs w:val="24"/>
              </w:rPr>
              <w:t>6</w:t>
            </w:r>
          </w:p>
        </w:tc>
        <w:tc>
          <w:tcPr>
            <w:tcW w:w="600" w:type="pct"/>
            <w:vAlign w:val="center"/>
          </w:tcPr>
          <w:p>
            <w:pPr>
              <w:widowControl/>
              <w:jc w:val="center"/>
              <w:rPr>
                <w:kern w:val="0"/>
                <w:szCs w:val="24"/>
              </w:rPr>
            </w:pPr>
            <w:r>
              <w:rPr>
                <w:kern w:val="0"/>
                <w:szCs w:val="24"/>
              </w:rPr>
              <w:t>1</w:t>
            </w:r>
          </w:p>
        </w:tc>
        <w:tc>
          <w:tcPr>
            <w:tcW w:w="517" w:type="pct"/>
            <w:vAlign w:val="center"/>
          </w:tcPr>
          <w:p>
            <w:pPr>
              <w:widowControl/>
              <w:jc w:val="center"/>
              <w:rPr>
                <w:kern w:val="0"/>
                <w:szCs w:val="24"/>
              </w:rPr>
            </w:pPr>
            <w:r>
              <w:rPr>
                <w:kern w:val="0"/>
                <w:szCs w:val="24"/>
              </w:rPr>
              <w:t>/</w:t>
            </w:r>
          </w:p>
        </w:tc>
        <w:tc>
          <w:tcPr>
            <w:tcW w:w="600" w:type="pct"/>
            <w:vAlign w:val="center"/>
          </w:tcPr>
          <w:p>
            <w:pPr>
              <w:widowControl/>
              <w:jc w:val="center"/>
              <w:rPr>
                <w:kern w:val="0"/>
                <w:szCs w:val="24"/>
              </w:rPr>
            </w:pPr>
            <w:r>
              <w:rPr>
                <w:kern w:val="0"/>
                <w:szCs w:val="24"/>
              </w:rPr>
              <w:t>5000</w:t>
            </w:r>
          </w:p>
        </w:tc>
        <w:tc>
          <w:tcPr>
            <w:tcW w:w="719" w:type="pct"/>
            <w:vAlign w:val="center"/>
          </w:tcPr>
          <w:p>
            <w:pPr>
              <w:widowControl/>
              <w:jc w:val="center"/>
              <w:rPr>
                <w:kern w:val="0"/>
                <w:szCs w:val="24"/>
              </w:rPr>
            </w:pPr>
            <w:r>
              <w:rPr>
                <w:kern w:val="0"/>
                <w:szCs w:val="24"/>
              </w:rPr>
              <w:t>30000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85" w:type="pct"/>
            <w:vAlign w:val="center"/>
          </w:tcPr>
          <w:p>
            <w:pPr>
              <w:widowControl/>
              <w:spacing w:line="240" w:lineRule="exact"/>
              <w:jc w:val="center"/>
              <w:rPr>
                <w:kern w:val="0"/>
                <w:szCs w:val="24"/>
              </w:rPr>
            </w:pPr>
            <w:r>
              <w:rPr>
                <w:kern w:val="0"/>
                <w:szCs w:val="24"/>
              </w:rPr>
              <w:t>3）</w:t>
            </w:r>
          </w:p>
        </w:tc>
        <w:tc>
          <w:tcPr>
            <w:tcW w:w="765" w:type="pct"/>
            <w:vAlign w:val="center"/>
          </w:tcPr>
          <w:p>
            <w:pPr>
              <w:widowControl/>
              <w:spacing w:line="240" w:lineRule="exact"/>
              <w:jc w:val="center"/>
              <w:rPr>
                <w:kern w:val="0"/>
                <w:szCs w:val="24"/>
              </w:rPr>
            </w:pPr>
            <w:r>
              <w:rPr>
                <w:kern w:val="0"/>
                <w:szCs w:val="24"/>
              </w:rPr>
              <w:t>噪声</w:t>
            </w:r>
          </w:p>
        </w:tc>
        <w:tc>
          <w:tcPr>
            <w:tcW w:w="391" w:type="pct"/>
            <w:vAlign w:val="center"/>
          </w:tcPr>
          <w:p>
            <w:pPr>
              <w:widowControl/>
              <w:jc w:val="center"/>
              <w:rPr>
                <w:kern w:val="0"/>
                <w:szCs w:val="24"/>
              </w:rPr>
            </w:pPr>
            <w:r>
              <w:rPr>
                <w:kern w:val="0"/>
                <w:szCs w:val="24"/>
              </w:rPr>
              <w:t>个</w:t>
            </w:r>
          </w:p>
        </w:tc>
        <w:tc>
          <w:tcPr>
            <w:tcW w:w="591" w:type="pct"/>
            <w:vAlign w:val="center"/>
          </w:tcPr>
          <w:p>
            <w:pPr>
              <w:widowControl/>
              <w:jc w:val="center"/>
              <w:rPr>
                <w:kern w:val="0"/>
                <w:szCs w:val="24"/>
              </w:rPr>
            </w:pPr>
            <w:r>
              <w:rPr>
                <w:kern w:val="0"/>
                <w:szCs w:val="24"/>
              </w:rPr>
              <w:t>4</w:t>
            </w:r>
          </w:p>
        </w:tc>
        <w:tc>
          <w:tcPr>
            <w:tcW w:w="526" w:type="pct"/>
            <w:vAlign w:val="center"/>
          </w:tcPr>
          <w:p>
            <w:pPr>
              <w:widowControl/>
              <w:jc w:val="center"/>
              <w:rPr>
                <w:kern w:val="0"/>
                <w:szCs w:val="24"/>
              </w:rPr>
            </w:pPr>
            <w:r>
              <w:rPr>
                <w:kern w:val="0"/>
                <w:szCs w:val="24"/>
              </w:rPr>
              <w:t>6</w:t>
            </w:r>
          </w:p>
        </w:tc>
        <w:tc>
          <w:tcPr>
            <w:tcW w:w="600" w:type="pct"/>
            <w:vAlign w:val="center"/>
          </w:tcPr>
          <w:p>
            <w:pPr>
              <w:widowControl/>
              <w:jc w:val="center"/>
              <w:rPr>
                <w:kern w:val="0"/>
                <w:szCs w:val="24"/>
              </w:rPr>
            </w:pPr>
            <w:r>
              <w:rPr>
                <w:kern w:val="0"/>
                <w:szCs w:val="24"/>
              </w:rPr>
              <w:t>1</w:t>
            </w:r>
          </w:p>
        </w:tc>
        <w:tc>
          <w:tcPr>
            <w:tcW w:w="517" w:type="pct"/>
            <w:vAlign w:val="center"/>
          </w:tcPr>
          <w:p>
            <w:pPr>
              <w:widowControl/>
              <w:jc w:val="center"/>
              <w:rPr>
                <w:kern w:val="0"/>
                <w:szCs w:val="24"/>
              </w:rPr>
            </w:pPr>
            <w:r>
              <w:rPr>
                <w:kern w:val="0"/>
                <w:szCs w:val="24"/>
              </w:rPr>
              <w:t>/</w:t>
            </w:r>
          </w:p>
        </w:tc>
        <w:tc>
          <w:tcPr>
            <w:tcW w:w="600" w:type="pct"/>
            <w:vAlign w:val="center"/>
          </w:tcPr>
          <w:p>
            <w:pPr>
              <w:widowControl/>
              <w:jc w:val="center"/>
              <w:rPr>
                <w:kern w:val="0"/>
                <w:szCs w:val="24"/>
              </w:rPr>
            </w:pPr>
            <w:r>
              <w:rPr>
                <w:kern w:val="0"/>
                <w:szCs w:val="24"/>
              </w:rPr>
              <w:t>5000</w:t>
            </w:r>
          </w:p>
        </w:tc>
        <w:tc>
          <w:tcPr>
            <w:tcW w:w="719" w:type="pct"/>
            <w:vAlign w:val="center"/>
          </w:tcPr>
          <w:p>
            <w:pPr>
              <w:widowControl/>
              <w:jc w:val="center"/>
              <w:rPr>
                <w:kern w:val="0"/>
                <w:szCs w:val="24"/>
              </w:rPr>
            </w:pPr>
            <w:r>
              <w:rPr>
                <w:kern w:val="0"/>
                <w:szCs w:val="24"/>
              </w:rPr>
              <w:t>30000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85" w:type="pct"/>
            <w:vAlign w:val="center"/>
          </w:tcPr>
          <w:p>
            <w:pPr>
              <w:widowControl/>
              <w:spacing w:line="240" w:lineRule="exact"/>
              <w:jc w:val="center"/>
              <w:rPr>
                <w:kern w:val="0"/>
                <w:szCs w:val="24"/>
              </w:rPr>
            </w:pPr>
            <w:r>
              <w:rPr>
                <w:kern w:val="0"/>
                <w:szCs w:val="24"/>
              </w:rPr>
              <w:t>2</w:t>
            </w:r>
          </w:p>
        </w:tc>
        <w:tc>
          <w:tcPr>
            <w:tcW w:w="765" w:type="pct"/>
            <w:vAlign w:val="center"/>
          </w:tcPr>
          <w:p>
            <w:pPr>
              <w:widowControl/>
              <w:spacing w:line="240" w:lineRule="exact"/>
              <w:jc w:val="center"/>
              <w:rPr>
                <w:kern w:val="0"/>
                <w:szCs w:val="24"/>
              </w:rPr>
            </w:pPr>
            <w:r>
              <w:rPr>
                <w:kern w:val="0"/>
                <w:szCs w:val="24"/>
              </w:rPr>
              <w:t>生态环境监测费用</w:t>
            </w:r>
          </w:p>
        </w:tc>
        <w:tc>
          <w:tcPr>
            <w:tcW w:w="391" w:type="pct"/>
            <w:vAlign w:val="center"/>
          </w:tcPr>
          <w:p>
            <w:pPr>
              <w:widowControl/>
              <w:jc w:val="center"/>
              <w:rPr>
                <w:kern w:val="0"/>
                <w:szCs w:val="24"/>
              </w:rPr>
            </w:pPr>
          </w:p>
        </w:tc>
        <w:tc>
          <w:tcPr>
            <w:tcW w:w="591" w:type="pct"/>
            <w:vAlign w:val="center"/>
          </w:tcPr>
          <w:p>
            <w:pPr>
              <w:widowControl/>
              <w:jc w:val="center"/>
              <w:rPr>
                <w:kern w:val="0"/>
                <w:szCs w:val="24"/>
              </w:rPr>
            </w:pPr>
          </w:p>
        </w:tc>
        <w:tc>
          <w:tcPr>
            <w:tcW w:w="526" w:type="pct"/>
            <w:vAlign w:val="center"/>
          </w:tcPr>
          <w:p>
            <w:pPr>
              <w:widowControl/>
              <w:jc w:val="center"/>
              <w:rPr>
                <w:kern w:val="0"/>
                <w:szCs w:val="24"/>
              </w:rPr>
            </w:pPr>
            <w:r>
              <w:rPr>
                <w:rFonts w:hint="eastAsia"/>
                <w:kern w:val="0"/>
                <w:szCs w:val="24"/>
              </w:rPr>
              <w:t>6</w:t>
            </w:r>
          </w:p>
        </w:tc>
        <w:tc>
          <w:tcPr>
            <w:tcW w:w="600" w:type="pct"/>
            <w:vAlign w:val="center"/>
          </w:tcPr>
          <w:p>
            <w:pPr>
              <w:widowControl/>
              <w:jc w:val="center"/>
              <w:rPr>
                <w:kern w:val="0"/>
                <w:szCs w:val="24"/>
              </w:rPr>
            </w:pPr>
            <w:r>
              <w:rPr>
                <w:kern w:val="0"/>
                <w:szCs w:val="24"/>
              </w:rPr>
              <w:t>1</w:t>
            </w:r>
          </w:p>
        </w:tc>
        <w:tc>
          <w:tcPr>
            <w:tcW w:w="517" w:type="pct"/>
            <w:vAlign w:val="center"/>
          </w:tcPr>
          <w:p>
            <w:pPr>
              <w:widowControl/>
              <w:jc w:val="center"/>
              <w:rPr>
                <w:kern w:val="0"/>
                <w:szCs w:val="24"/>
              </w:rPr>
            </w:pPr>
          </w:p>
        </w:tc>
        <w:tc>
          <w:tcPr>
            <w:tcW w:w="600" w:type="pct"/>
            <w:vAlign w:val="center"/>
          </w:tcPr>
          <w:p>
            <w:pPr>
              <w:widowControl/>
              <w:jc w:val="center"/>
              <w:rPr>
                <w:kern w:val="0"/>
                <w:szCs w:val="24"/>
              </w:rPr>
            </w:pPr>
            <w:r>
              <w:rPr>
                <w:kern w:val="0"/>
                <w:szCs w:val="24"/>
              </w:rPr>
              <w:t>10000</w:t>
            </w:r>
          </w:p>
        </w:tc>
        <w:tc>
          <w:tcPr>
            <w:tcW w:w="719" w:type="pct"/>
            <w:vAlign w:val="center"/>
          </w:tcPr>
          <w:p>
            <w:pPr>
              <w:widowControl/>
              <w:jc w:val="center"/>
              <w:rPr>
                <w:kern w:val="0"/>
                <w:szCs w:val="24"/>
              </w:rPr>
            </w:pPr>
            <w:r>
              <w:rPr>
                <w:rFonts w:hint="eastAsia"/>
                <w:kern w:val="0"/>
                <w:szCs w:val="24"/>
              </w:rPr>
              <w:t>6</w:t>
            </w:r>
            <w:r>
              <w:rPr>
                <w:kern w:val="0"/>
                <w:szCs w:val="24"/>
              </w:rPr>
              <w:t>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85" w:type="pct"/>
            <w:vAlign w:val="center"/>
          </w:tcPr>
          <w:p>
            <w:pPr>
              <w:widowControl/>
              <w:jc w:val="center"/>
              <w:rPr>
                <w:kern w:val="0"/>
                <w:szCs w:val="24"/>
              </w:rPr>
            </w:pPr>
            <w:r>
              <w:rPr>
                <w:kern w:val="0"/>
                <w:szCs w:val="24"/>
              </w:rPr>
              <w:t>　</w:t>
            </w:r>
          </w:p>
        </w:tc>
        <w:tc>
          <w:tcPr>
            <w:tcW w:w="765" w:type="pct"/>
            <w:vAlign w:val="center"/>
          </w:tcPr>
          <w:p>
            <w:pPr>
              <w:widowControl/>
              <w:jc w:val="center"/>
              <w:rPr>
                <w:bCs/>
                <w:kern w:val="0"/>
                <w:szCs w:val="24"/>
              </w:rPr>
            </w:pPr>
            <w:r>
              <w:rPr>
                <w:bCs/>
                <w:kern w:val="0"/>
                <w:szCs w:val="24"/>
              </w:rPr>
              <w:t>合计</w:t>
            </w:r>
          </w:p>
        </w:tc>
        <w:tc>
          <w:tcPr>
            <w:tcW w:w="391" w:type="pct"/>
            <w:vAlign w:val="center"/>
          </w:tcPr>
          <w:p>
            <w:pPr>
              <w:widowControl/>
              <w:jc w:val="center"/>
              <w:rPr>
                <w:kern w:val="0"/>
                <w:szCs w:val="24"/>
              </w:rPr>
            </w:pPr>
          </w:p>
        </w:tc>
        <w:tc>
          <w:tcPr>
            <w:tcW w:w="591" w:type="pct"/>
            <w:vAlign w:val="center"/>
          </w:tcPr>
          <w:p>
            <w:pPr>
              <w:widowControl/>
              <w:jc w:val="center"/>
              <w:rPr>
                <w:kern w:val="0"/>
                <w:szCs w:val="24"/>
              </w:rPr>
            </w:pPr>
          </w:p>
        </w:tc>
        <w:tc>
          <w:tcPr>
            <w:tcW w:w="526" w:type="pct"/>
            <w:vAlign w:val="center"/>
          </w:tcPr>
          <w:p>
            <w:pPr>
              <w:widowControl/>
              <w:jc w:val="center"/>
              <w:rPr>
                <w:kern w:val="0"/>
                <w:szCs w:val="24"/>
              </w:rPr>
            </w:pPr>
          </w:p>
        </w:tc>
        <w:tc>
          <w:tcPr>
            <w:tcW w:w="600" w:type="pct"/>
            <w:vAlign w:val="center"/>
          </w:tcPr>
          <w:p>
            <w:pPr>
              <w:widowControl/>
              <w:jc w:val="center"/>
              <w:rPr>
                <w:kern w:val="0"/>
                <w:szCs w:val="24"/>
              </w:rPr>
            </w:pPr>
          </w:p>
        </w:tc>
        <w:tc>
          <w:tcPr>
            <w:tcW w:w="517" w:type="pct"/>
            <w:vAlign w:val="center"/>
          </w:tcPr>
          <w:p>
            <w:pPr>
              <w:widowControl/>
              <w:jc w:val="center"/>
              <w:rPr>
                <w:kern w:val="0"/>
                <w:szCs w:val="24"/>
              </w:rPr>
            </w:pPr>
          </w:p>
        </w:tc>
        <w:tc>
          <w:tcPr>
            <w:tcW w:w="600" w:type="pct"/>
            <w:vAlign w:val="center"/>
          </w:tcPr>
          <w:p>
            <w:pPr>
              <w:widowControl/>
              <w:jc w:val="center"/>
              <w:rPr>
                <w:kern w:val="0"/>
                <w:szCs w:val="24"/>
              </w:rPr>
            </w:pPr>
          </w:p>
        </w:tc>
        <w:tc>
          <w:tcPr>
            <w:tcW w:w="719" w:type="pct"/>
            <w:vAlign w:val="center"/>
          </w:tcPr>
          <w:p>
            <w:pPr>
              <w:widowControl/>
              <w:jc w:val="center"/>
              <w:rPr>
                <w:kern w:val="0"/>
                <w:szCs w:val="24"/>
              </w:rPr>
            </w:pPr>
            <w:r>
              <w:rPr>
                <w:kern w:val="0"/>
                <w:szCs w:val="24"/>
              </w:rPr>
              <w:fldChar w:fldCharType="begin"/>
            </w:r>
            <w:r>
              <w:rPr>
                <w:kern w:val="0"/>
                <w:szCs w:val="24"/>
              </w:rPr>
              <w:instrText xml:space="preserve"> =SUM(ABOVE) </w:instrText>
            </w:r>
            <w:r>
              <w:rPr>
                <w:kern w:val="0"/>
                <w:szCs w:val="24"/>
              </w:rPr>
              <w:fldChar w:fldCharType="separate"/>
            </w:r>
            <w:r>
              <w:rPr>
                <w:kern w:val="0"/>
                <w:szCs w:val="24"/>
              </w:rPr>
              <w:t>150000</w:t>
            </w:r>
            <w:r>
              <w:rPr>
                <w:kern w:val="0"/>
                <w:szCs w:val="24"/>
              </w:rPr>
              <w:fldChar w:fldCharType="end"/>
            </w:r>
          </w:p>
        </w:tc>
      </w:tr>
    </w:tbl>
    <w:p>
      <w:pPr>
        <w:pStyle w:val="31"/>
      </w:pPr>
      <w:bookmarkStart w:id="252" w:name="_Toc71036679"/>
      <w:r>
        <w:rPr>
          <w:rFonts w:hint="eastAsia"/>
        </w:rPr>
        <w:t>6.2.3</w:t>
      </w:r>
      <w:r>
        <w:t>总费用汇总</w:t>
      </w:r>
      <w:bookmarkEnd w:id="252"/>
    </w:p>
    <w:p>
      <w:pPr>
        <w:pStyle w:val="2"/>
        <w:rPr>
          <w:rFonts w:ascii="Times New Roman" w:hAnsi="Times New Roman" w:cs="Times New Roman"/>
        </w:rPr>
      </w:pPr>
      <w:r>
        <w:rPr>
          <w:rFonts w:ascii="Times New Roman" w:cs="Times New Roman"/>
        </w:rPr>
        <w:t>矿山复垦费用包括工程施工费、设备费、其他费用（前期工作费、工程监理费、竣工验收费、业主管理费）、监测与管护费、预备费（基本预备费和风险金）。</w:t>
      </w:r>
    </w:p>
    <w:p>
      <w:pPr>
        <w:pStyle w:val="2"/>
        <w:rPr>
          <w:rFonts w:ascii="Times New Roman" w:hAnsi="Times New Roman" w:cs="Times New Roman"/>
        </w:rPr>
      </w:pPr>
      <w:r>
        <w:rPr>
          <w:rFonts w:ascii="Times New Roman" w:cs="Times New Roman"/>
        </w:rPr>
        <w:t>矿山生态环境治理恢复费用还包括年审申报制度和季报制度费用、环境污染监测费用以及生态环境监测费用。</w:t>
      </w:r>
    </w:p>
    <w:p>
      <w:pPr>
        <w:pStyle w:val="2"/>
        <w:rPr>
          <w:rFonts w:ascii="Times New Roman" w:hAnsi="Times New Roman" w:cs="Times New Roman"/>
        </w:rPr>
      </w:pPr>
      <w:r>
        <w:rPr>
          <w:rFonts w:ascii="Times New Roman" w:cs="Times New Roman"/>
        </w:rPr>
        <w:t>矿山环境治理工程经费包括</w:t>
      </w:r>
      <w:r>
        <w:rPr>
          <w:rFonts w:hint="eastAsia" w:ascii="Times New Roman" w:cs="Times New Roman"/>
        </w:rPr>
        <w:t>矿山地质环境保护与恢复治理费用、</w:t>
      </w:r>
      <w:r>
        <w:rPr>
          <w:rFonts w:ascii="Times New Roman" w:cs="Times New Roman"/>
        </w:rPr>
        <w:t>矿山土地复垦费用、矿山生态环境治理恢复年审申报制度和季报制度费用、环境污染监测费用以及生态环境监测费用，共计</w:t>
      </w:r>
      <w:r>
        <w:rPr>
          <w:rFonts w:hint="eastAsia" w:ascii="Times New Roman" w:hAnsi="Times New Roman" w:cs="Times New Roman"/>
        </w:rPr>
        <w:t>194.51</w:t>
      </w:r>
      <w:r>
        <w:rPr>
          <w:rFonts w:ascii="Times New Roman" w:cs="Times New Roman"/>
        </w:rPr>
        <w:t>万元</w:t>
      </w:r>
      <w:r>
        <w:rPr>
          <w:rFonts w:hint="eastAsia" w:ascii="Times New Roman" w:cs="Times New Roman"/>
        </w:rPr>
        <w:t>，</w:t>
      </w:r>
      <w:r>
        <w:rPr>
          <w:rFonts w:ascii="Times New Roman" w:cs="Times New Roman"/>
        </w:rPr>
        <w:t>其中生态环境保护与恢复治理实际费用为</w:t>
      </w:r>
      <w:r>
        <w:rPr>
          <w:rFonts w:ascii="Times New Roman" w:hAnsi="Times New Roman" w:cs="Times New Roman"/>
        </w:rPr>
        <w:t>51</w:t>
      </w:r>
      <w:r>
        <w:rPr>
          <w:rFonts w:ascii="Times New Roman" w:cs="Times New Roman"/>
        </w:rPr>
        <w:t>万元。</w:t>
      </w:r>
    </w:p>
    <w:p>
      <w:pPr>
        <w:pStyle w:val="2"/>
        <w:sectPr>
          <w:pgSz w:w="11907" w:h="16840"/>
          <w:pgMar w:top="1418" w:right="1418" w:bottom="1418" w:left="1418" w:header="680" w:footer="850" w:gutter="0"/>
          <w:cols w:space="720" w:num="1"/>
          <w:docGrid w:linePitch="326" w:charSpace="0"/>
        </w:sectPr>
      </w:pPr>
    </w:p>
    <w:p>
      <w:pPr>
        <w:pStyle w:val="3"/>
        <w:rPr>
          <w:rFonts w:ascii="Times New Roman" w:hAnsi="Times New Roman"/>
        </w:rPr>
      </w:pPr>
      <w:bookmarkStart w:id="253" w:name="_Toc71036680"/>
      <w:r>
        <w:rPr>
          <w:rFonts w:ascii="Times New Roman" w:hAnsi="Times New Roman"/>
        </w:rPr>
        <w:t>7  效益分析及评价</w:t>
      </w:r>
      <w:bookmarkEnd w:id="253"/>
    </w:p>
    <w:p>
      <w:pPr>
        <w:pStyle w:val="28"/>
        <w:ind w:firstLine="480" w:firstLineChars="200"/>
        <w:rPr>
          <w:rFonts w:ascii="Times New Roman" w:hAnsi="Times New Roman" w:cs="Times New Roman"/>
        </w:rPr>
      </w:pPr>
      <w:r>
        <w:rPr>
          <w:rFonts w:ascii="Times New Roman" w:hAnsi="Times New Roman" w:cs="Times New Roman"/>
        </w:rPr>
        <w:t>该方案符合国家制定的有关生态环境恢复治理及土地复垦政策，符合本项目的地面规划，通过方案的实施，可以部分恢复五台县安顺源石料有限公司原有的生态环境，有利于土地资源利用的可持续发展，不论从经济、生态和社会方面分析成绩显著。从效益和投资上分析，该项目符合国家投资政策，对今后促进当地的经济发展和生态环境恢复治理都具有十分重要的意义。</w:t>
      </w:r>
    </w:p>
    <w:p>
      <w:pPr>
        <w:pStyle w:val="30"/>
      </w:pPr>
      <w:bookmarkStart w:id="254" w:name="_Toc71036681"/>
      <w:r>
        <w:t>7.1 经济效益</w:t>
      </w:r>
      <w:bookmarkEnd w:id="254"/>
    </w:p>
    <w:p>
      <w:pPr>
        <w:pStyle w:val="28"/>
        <w:ind w:firstLine="480" w:firstLineChars="200"/>
        <w:rPr>
          <w:rFonts w:ascii="Times New Roman" w:hAnsi="Times New Roman" w:cs="Times New Roman"/>
        </w:rPr>
      </w:pPr>
      <w:r>
        <w:rPr>
          <w:rFonts w:ascii="Times New Roman" w:hAnsi="Times New Roman" w:cs="Times New Roman"/>
        </w:rPr>
        <w:t>本项目是一个以生态环境保护和建设为核心的项目，能够明显改善当地生态环境，提升景观效果，增添旅游亮点，增加旅游价值，促进乡村经济发展，同时还会减小或消除风沙、水土流失、滑坡、泥石流等生态灾害，从而间接地带来更大的经济效益。</w:t>
      </w:r>
    </w:p>
    <w:p>
      <w:pPr>
        <w:pStyle w:val="30"/>
      </w:pPr>
      <w:bookmarkStart w:id="255" w:name="_Toc517445879"/>
      <w:bookmarkStart w:id="256" w:name="_Toc517445118"/>
      <w:bookmarkStart w:id="257" w:name="_Toc12149"/>
      <w:bookmarkStart w:id="258" w:name="_Toc517446137"/>
      <w:bookmarkStart w:id="259" w:name="_Toc280364637"/>
      <w:bookmarkStart w:id="260" w:name="_Toc279699264"/>
      <w:bookmarkStart w:id="261" w:name="_Toc517446451"/>
      <w:bookmarkStart w:id="262" w:name="_Toc31232"/>
      <w:bookmarkStart w:id="263" w:name="_Toc71036682"/>
      <w:bookmarkStart w:id="264" w:name="_Toc261094493"/>
      <w:r>
        <w:t>7.2社会效益</w:t>
      </w:r>
      <w:bookmarkEnd w:id="255"/>
      <w:bookmarkEnd w:id="256"/>
      <w:bookmarkEnd w:id="257"/>
      <w:bookmarkEnd w:id="258"/>
      <w:bookmarkEnd w:id="259"/>
      <w:bookmarkEnd w:id="260"/>
      <w:bookmarkEnd w:id="261"/>
      <w:bookmarkEnd w:id="262"/>
      <w:bookmarkEnd w:id="263"/>
      <w:bookmarkEnd w:id="264"/>
    </w:p>
    <w:p>
      <w:pPr>
        <w:pStyle w:val="31"/>
      </w:pPr>
      <w:bookmarkStart w:id="265" w:name="_Toc251692818"/>
      <w:bookmarkEnd w:id="265"/>
      <w:bookmarkStart w:id="266" w:name="_Toc231963526"/>
      <w:bookmarkEnd w:id="266"/>
      <w:bookmarkStart w:id="267" w:name="_Toc256062834"/>
      <w:bookmarkEnd w:id="267"/>
      <w:bookmarkStart w:id="268" w:name="_Toc256335025"/>
      <w:bookmarkEnd w:id="268"/>
      <w:bookmarkStart w:id="269" w:name="_Toc251833854"/>
      <w:bookmarkEnd w:id="269"/>
      <w:bookmarkStart w:id="270" w:name="_Toc258340589"/>
      <w:bookmarkEnd w:id="270"/>
      <w:bookmarkStart w:id="271" w:name="_Toc517445880"/>
      <w:bookmarkStart w:id="272" w:name="_Toc517446138"/>
      <w:bookmarkStart w:id="273" w:name="_Toc517445119"/>
      <w:bookmarkStart w:id="274" w:name="_Toc211756669"/>
      <w:bookmarkStart w:id="275" w:name="_Toc71036683"/>
      <w:bookmarkStart w:id="276" w:name="_Toc327299853"/>
      <w:bookmarkStart w:id="277" w:name="_Toc517446452"/>
      <w:bookmarkStart w:id="278" w:name="_Toc304932695"/>
      <w:bookmarkStart w:id="279" w:name="_Toc4568"/>
      <w:bookmarkStart w:id="280" w:name="_Toc211758566"/>
      <w:bookmarkStart w:id="281" w:name="_Toc211463123"/>
      <w:bookmarkStart w:id="282" w:name="_Toc279699265"/>
      <w:bookmarkStart w:id="283" w:name="_Toc847"/>
      <w:bookmarkStart w:id="284" w:name="_Toc261094494"/>
      <w:bookmarkStart w:id="285" w:name="_Toc280364638"/>
      <w:r>
        <w:t>7.2.1有助于增强企业实力，促进企业整体良性循环</w:t>
      </w:r>
      <w:bookmarkEnd w:id="271"/>
      <w:bookmarkEnd w:id="272"/>
      <w:bookmarkEnd w:id="273"/>
      <w:bookmarkEnd w:id="274"/>
      <w:bookmarkEnd w:id="275"/>
      <w:bookmarkEnd w:id="276"/>
      <w:bookmarkEnd w:id="277"/>
      <w:bookmarkEnd w:id="278"/>
      <w:bookmarkEnd w:id="279"/>
      <w:bookmarkEnd w:id="280"/>
      <w:bookmarkEnd w:id="281"/>
    </w:p>
    <w:p>
      <w:pPr>
        <w:ind w:firstLine="496"/>
        <w:rPr>
          <w:rFonts w:ascii="Times New Roman" w:hAnsi="Times New Roman"/>
          <w:szCs w:val="24"/>
        </w:rPr>
      </w:pPr>
      <w:r>
        <w:rPr>
          <w:rFonts w:ascii="Times New Roman" w:hAnsi="Times New Roman"/>
          <w:szCs w:val="24"/>
        </w:rPr>
        <w:t>本项目矿山生态环境恢复与建设，不仅改善矿区生态环境，创造生态效益和环境效益，还能为员工的健康服务，这在一定的程度上提高了员工的工作积极性，增加了企业的经济效益和市场竞争力，促进企业的整体良性循环。</w:t>
      </w:r>
    </w:p>
    <w:p>
      <w:pPr>
        <w:pStyle w:val="31"/>
      </w:pPr>
      <w:bookmarkStart w:id="286" w:name="_Toc517445120"/>
      <w:bookmarkStart w:id="287" w:name="_Toc327299854"/>
      <w:bookmarkStart w:id="288" w:name="_Toc4147"/>
      <w:bookmarkStart w:id="289" w:name="_Toc211756670"/>
      <w:bookmarkStart w:id="290" w:name="_Toc517445881"/>
      <w:bookmarkStart w:id="291" w:name="_Toc211463124"/>
      <w:bookmarkStart w:id="292" w:name="_Toc304932696"/>
      <w:bookmarkStart w:id="293" w:name="_Toc517446139"/>
      <w:bookmarkStart w:id="294" w:name="_Toc71036684"/>
      <w:bookmarkStart w:id="295" w:name="_Toc211758567"/>
      <w:bookmarkStart w:id="296" w:name="_Toc517446453"/>
      <w:r>
        <w:t>7.2.2有利于促进地区经济发展</w:t>
      </w:r>
      <w:bookmarkEnd w:id="286"/>
      <w:bookmarkEnd w:id="287"/>
      <w:bookmarkEnd w:id="288"/>
      <w:bookmarkEnd w:id="289"/>
      <w:bookmarkEnd w:id="290"/>
      <w:bookmarkEnd w:id="291"/>
      <w:bookmarkEnd w:id="292"/>
      <w:bookmarkEnd w:id="293"/>
      <w:bookmarkEnd w:id="294"/>
      <w:bookmarkEnd w:id="295"/>
      <w:bookmarkEnd w:id="296"/>
    </w:p>
    <w:p>
      <w:pPr>
        <w:ind w:firstLine="496"/>
        <w:rPr>
          <w:rFonts w:ascii="Times New Roman" w:hAnsi="Times New Roman"/>
          <w:szCs w:val="24"/>
        </w:rPr>
      </w:pPr>
      <w:r>
        <w:rPr>
          <w:rFonts w:ascii="Times New Roman" w:hAnsi="Times New Roman"/>
          <w:szCs w:val="24"/>
        </w:rPr>
        <w:t>该方案的工程建设充分发挥了当地的矿产资源优势，一方面给企业带来了良好的经济效益，另一方面给国家带来一定的利税，增加地方财政收入，同时带动了当地相关企业的发展，促进了地区的经济活跃与发展。</w:t>
      </w:r>
    </w:p>
    <w:p>
      <w:pPr>
        <w:pStyle w:val="31"/>
      </w:pPr>
      <w:bookmarkStart w:id="297" w:name="_Toc5292"/>
      <w:bookmarkStart w:id="298" w:name="_Toc71036685"/>
      <w:bookmarkStart w:id="299" w:name="_Toc211463125"/>
      <w:bookmarkStart w:id="300" w:name="_Toc304932697"/>
      <w:bookmarkStart w:id="301" w:name="_Toc517446140"/>
      <w:bookmarkStart w:id="302" w:name="_Toc327299855"/>
      <w:bookmarkStart w:id="303" w:name="_Toc211758568"/>
      <w:bookmarkStart w:id="304" w:name="_Toc517446454"/>
      <w:bookmarkStart w:id="305" w:name="_Toc517445121"/>
      <w:bookmarkStart w:id="306" w:name="_Toc517445882"/>
      <w:bookmarkStart w:id="307" w:name="_Toc211756671"/>
      <w:r>
        <w:t>7.2.3安排在籍人员劳动就业，为社会安定做贡献</w:t>
      </w:r>
      <w:bookmarkEnd w:id="297"/>
      <w:bookmarkEnd w:id="298"/>
      <w:bookmarkEnd w:id="299"/>
      <w:bookmarkEnd w:id="300"/>
      <w:bookmarkEnd w:id="301"/>
      <w:bookmarkEnd w:id="302"/>
      <w:bookmarkEnd w:id="303"/>
      <w:bookmarkEnd w:id="304"/>
      <w:bookmarkEnd w:id="305"/>
      <w:bookmarkEnd w:id="306"/>
      <w:bookmarkEnd w:id="307"/>
    </w:p>
    <w:p>
      <w:pPr>
        <w:ind w:firstLine="496"/>
        <w:rPr>
          <w:rFonts w:ascii="Times New Roman" w:hAnsi="Times New Roman"/>
          <w:szCs w:val="24"/>
        </w:rPr>
      </w:pPr>
      <w:r>
        <w:rPr>
          <w:rFonts w:ascii="Times New Roman" w:hAnsi="Times New Roman"/>
          <w:szCs w:val="24"/>
        </w:rPr>
        <w:t>该方案中的工程建成投产后，不仅为企业带来较好的经济效益，又提供了更多的工作岗位，解决部分待岗人员及周边农村闲置剩余劳动力的就业问题，增加居民收入，对于稳定社会秩序、提高人民生活水平具有积极作用。</w:t>
      </w:r>
    </w:p>
    <w:p>
      <w:pPr>
        <w:ind w:firstLine="496"/>
        <w:rPr>
          <w:rFonts w:ascii="Times New Roman" w:hAnsi="Times New Roman"/>
          <w:szCs w:val="24"/>
        </w:rPr>
        <w:sectPr>
          <w:pgSz w:w="11907" w:h="16840"/>
          <w:pgMar w:top="1418" w:right="1418" w:bottom="1418" w:left="1418" w:header="680" w:footer="850" w:gutter="0"/>
          <w:cols w:space="720" w:num="1"/>
          <w:docGrid w:linePitch="326" w:charSpace="0"/>
        </w:sectPr>
      </w:pPr>
      <w:r>
        <w:rPr>
          <w:rFonts w:ascii="Times New Roman" w:hAnsi="Times New Roman"/>
          <w:szCs w:val="24"/>
        </w:rPr>
        <w:t>矿区内的生态恢复建设固定投资对企业来说虽然较大，但每年节省或降低废物处理成本以及副产品再利用等多方面获得丰厚的利润回报，符合可持续发展战略，经济上是可行的。</w:t>
      </w:r>
      <w:bookmarkEnd w:id="282"/>
      <w:bookmarkEnd w:id="283"/>
      <w:bookmarkEnd w:id="284"/>
      <w:bookmarkEnd w:id="285"/>
    </w:p>
    <w:p>
      <w:pPr>
        <w:rPr>
          <w:rFonts w:ascii="Times New Roman" w:hAnsi="Times New Roman"/>
        </w:rPr>
      </w:pPr>
      <w:bookmarkStart w:id="308" w:name="_Toc202849834"/>
      <w:bookmarkEnd w:id="308"/>
      <w:bookmarkStart w:id="309" w:name="_Toc256335026"/>
      <w:bookmarkEnd w:id="309"/>
      <w:bookmarkStart w:id="310" w:name="_Toc209886965"/>
      <w:bookmarkEnd w:id="310"/>
      <w:bookmarkStart w:id="311" w:name="_Toc231963527"/>
      <w:bookmarkEnd w:id="311"/>
      <w:bookmarkStart w:id="312" w:name="_Toc205720081"/>
      <w:bookmarkEnd w:id="312"/>
      <w:bookmarkStart w:id="313" w:name="_Toc517446141"/>
      <w:bookmarkStart w:id="314" w:name="_Toc517446455"/>
      <w:bookmarkStart w:id="315" w:name="_Toc517445883"/>
      <w:bookmarkStart w:id="316" w:name="_Toc517445122"/>
    </w:p>
    <w:p>
      <w:pPr>
        <w:pStyle w:val="30"/>
      </w:pPr>
      <w:bookmarkStart w:id="317" w:name="_Toc71036686"/>
      <w:bookmarkStart w:id="318" w:name="_Toc21782"/>
      <w:r>
        <w:t>7.3生态效益</w:t>
      </w:r>
      <w:bookmarkEnd w:id="313"/>
      <w:bookmarkEnd w:id="314"/>
      <w:bookmarkEnd w:id="315"/>
      <w:bookmarkEnd w:id="316"/>
      <w:bookmarkEnd w:id="317"/>
      <w:bookmarkEnd w:id="318"/>
    </w:p>
    <w:p>
      <w:pPr>
        <w:pStyle w:val="29"/>
        <w:spacing w:line="500" w:lineRule="exact"/>
        <w:ind w:firstLine="482"/>
        <w:rPr>
          <w:rFonts w:ascii="Times New Roman" w:hAnsi="Times New Roman" w:cs="Times New Roman"/>
        </w:rPr>
      </w:pPr>
      <w:r>
        <w:rPr>
          <w:rFonts w:ascii="Times New Roman" w:hAnsi="Times New Roman" w:cs="Times New Roman"/>
        </w:rPr>
        <w:t>效益评估的结果为：通过矿区生态环境恢复治理工程的实施，矿区生态环境破坏趋势得到有效控制，矿区的生态环境质量有明显的改善。到2022年，</w:t>
      </w:r>
      <w:r>
        <w:rPr>
          <w:rFonts w:ascii="Times New Roman" w:hAnsi="Times New Roman" w:cs="Times New Roman"/>
          <w:bCs/>
        </w:rPr>
        <w:t>采用播撒灌草籽以及栽植乔木（油松、侧柏、杨树）的方式进行植被恢复，</w:t>
      </w:r>
      <w:r>
        <w:rPr>
          <w:rFonts w:hint="eastAsia" w:ascii="Times New Roman" w:hAnsi="Times New Roman" w:cs="Times New Roman"/>
          <w:bCs/>
        </w:rPr>
        <w:t>矿山</w:t>
      </w:r>
      <w:r>
        <w:rPr>
          <w:rFonts w:ascii="Times New Roman" w:hAnsi="Times New Roman" w:cs="Times New Roman"/>
          <w:bCs/>
        </w:rPr>
        <w:t>生态得到有效治理，</w:t>
      </w:r>
      <w:r>
        <w:rPr>
          <w:rFonts w:ascii="Times New Roman" w:hAnsi="Times New Roman" w:cs="Times New Roman"/>
        </w:rPr>
        <w:t>增加绿化面积，减少粉尘污染和安全事故；对存在的裸露地面进行绿化，企业生态环境监控能力得以提升。上述工程的实施，使矿区植被覆盖度增加，使更好的维持生态系统的平衡，综合治理水土流失，有利于区域环境质量的全面改善。</w:t>
      </w:r>
    </w:p>
    <w:p>
      <w:pPr>
        <w:pStyle w:val="3"/>
        <w:spacing w:before="0" w:after="0" w:line="360" w:lineRule="auto"/>
        <w:ind w:firstLine="643"/>
        <w:rPr>
          <w:rFonts w:ascii="Times New Roman" w:hAnsi="Times New Roman"/>
        </w:rPr>
        <w:sectPr>
          <w:type w:val="continuous"/>
          <w:pgSz w:w="11907" w:h="16840"/>
          <w:pgMar w:top="1418" w:right="1418" w:bottom="1418" w:left="1418" w:header="680" w:footer="992" w:gutter="0"/>
          <w:cols w:space="720" w:num="1"/>
          <w:docGrid w:linePitch="312" w:charSpace="0"/>
        </w:sectPr>
      </w:pPr>
    </w:p>
    <w:p>
      <w:pPr>
        <w:pStyle w:val="3"/>
        <w:rPr>
          <w:rFonts w:ascii="Times New Roman" w:hAnsi="Times New Roman"/>
        </w:rPr>
      </w:pPr>
      <w:bookmarkStart w:id="319" w:name="_Toc71036687"/>
      <w:r>
        <w:rPr>
          <w:rFonts w:ascii="Times New Roman" w:hAnsi="Times New Roman"/>
        </w:rPr>
        <w:t>8  保障措施</w:t>
      </w:r>
      <w:bookmarkEnd w:id="319"/>
    </w:p>
    <w:p>
      <w:pPr>
        <w:pStyle w:val="30"/>
      </w:pPr>
      <w:bookmarkStart w:id="320" w:name="_Toc71036688"/>
      <w:r>
        <w:t>8.1 政策保障</w:t>
      </w:r>
      <w:bookmarkEnd w:id="320"/>
    </w:p>
    <w:p>
      <w:pPr>
        <w:pStyle w:val="29"/>
        <w:spacing w:line="500" w:lineRule="exact"/>
        <w:ind w:firstLine="480" w:firstLineChars="200"/>
        <w:rPr>
          <w:rFonts w:ascii="Times New Roman" w:hAnsi="Times New Roman" w:cs="Times New Roman"/>
        </w:rPr>
      </w:pPr>
      <w:r>
        <w:rPr>
          <w:rFonts w:ascii="Times New Roman" w:hAnsi="Times New Roman" w:cs="Times New Roman"/>
        </w:rPr>
        <w:t>1）政策法规</w:t>
      </w:r>
    </w:p>
    <w:p>
      <w:pPr>
        <w:pStyle w:val="29"/>
        <w:spacing w:line="500" w:lineRule="exact"/>
        <w:ind w:firstLine="480" w:firstLineChars="200"/>
        <w:jc w:val="left"/>
        <w:rPr>
          <w:rFonts w:ascii="Times New Roman" w:hAnsi="Times New Roman" w:cs="Times New Roman"/>
        </w:rPr>
      </w:pPr>
      <w:r>
        <w:rPr>
          <w:rFonts w:ascii="Times New Roman" w:hAnsi="Times New Roman" w:cs="Times New Roman"/>
        </w:rPr>
        <w:t>本方案经环保部门审定批准实施后，将作为本项目矿山生态环境恢复方案的主要依据。</w:t>
      </w:r>
    </w:p>
    <w:p>
      <w:pPr>
        <w:pStyle w:val="29"/>
        <w:spacing w:line="500" w:lineRule="exact"/>
        <w:ind w:firstLine="480" w:firstLineChars="200"/>
        <w:jc w:val="left"/>
        <w:rPr>
          <w:rFonts w:ascii="Times New Roman" w:hAnsi="Times New Roman" w:cs="Times New Roman"/>
        </w:rPr>
      </w:pPr>
      <w:r>
        <w:rPr>
          <w:rFonts w:ascii="Times New Roman" w:hAnsi="Times New Roman" w:cs="Times New Roman"/>
        </w:rPr>
        <w:t>2）加强执法、监管力度</w:t>
      </w:r>
    </w:p>
    <w:p>
      <w:pPr>
        <w:pStyle w:val="29"/>
        <w:spacing w:line="500" w:lineRule="exact"/>
        <w:ind w:firstLine="480" w:firstLineChars="200"/>
        <w:jc w:val="left"/>
        <w:rPr>
          <w:rFonts w:ascii="Times New Roman" w:hAnsi="Times New Roman" w:cs="Times New Roman"/>
        </w:rPr>
      </w:pPr>
      <w:r>
        <w:rPr>
          <w:rFonts w:ascii="Times New Roman" w:hAnsi="Times New Roman" w:cs="Times New Roman"/>
        </w:rPr>
        <w:t>认真贯彻执行国家法律法规，完善地方配套法规，同时鉴于生态环境恢复建设的复杂性和特殊性，需要制定有针对性的管理办法。</w:t>
      </w:r>
    </w:p>
    <w:p>
      <w:pPr>
        <w:pStyle w:val="29"/>
        <w:spacing w:line="500" w:lineRule="exact"/>
        <w:ind w:firstLine="480" w:firstLineChars="200"/>
        <w:jc w:val="left"/>
        <w:rPr>
          <w:rFonts w:ascii="Times New Roman" w:hAnsi="Times New Roman" w:cs="Times New Roman"/>
        </w:rPr>
      </w:pPr>
      <w:r>
        <w:rPr>
          <w:rFonts w:ascii="Times New Roman" w:hAnsi="Times New Roman" w:cs="Times New Roman"/>
        </w:rPr>
        <w:t>①进一步加强现有法律法规的执行，特别要加强建设项目环境影响评价法的执行力度。严格按照“环境影响评价法”的规定，对石灰岩矿资源开发的有关专项规划进行评价，并严格实施。对可能造成严重生态破坏和巨额经济损失的，必须禁采、限采或采取有效保护和防范措施。</w:t>
      </w:r>
    </w:p>
    <w:p>
      <w:pPr>
        <w:pStyle w:val="29"/>
        <w:spacing w:line="500" w:lineRule="exact"/>
        <w:rPr>
          <w:rFonts w:ascii="Times New Roman" w:hAnsi="Times New Roman" w:cs="Times New Roman"/>
        </w:rPr>
      </w:pPr>
      <w:r>
        <w:rPr>
          <w:rFonts w:ascii="Times New Roman" w:hAnsi="Times New Roman" w:cs="Times New Roman"/>
        </w:rPr>
        <w:t>②推进生态治理工程后评估制度，按照《国务院关于落实科学发展观加强环境保护的决定》，对矿区生态恢复治理工程实施后评估制度。</w:t>
      </w:r>
    </w:p>
    <w:p>
      <w:pPr>
        <w:pStyle w:val="29"/>
        <w:spacing w:line="500" w:lineRule="exact"/>
        <w:rPr>
          <w:rFonts w:ascii="Times New Roman" w:hAnsi="Times New Roman" w:cs="Times New Roman"/>
        </w:rPr>
      </w:pPr>
      <w:r>
        <w:rPr>
          <w:rFonts w:ascii="Times New Roman" w:hAnsi="Times New Roman" w:cs="Times New Roman"/>
        </w:rPr>
        <w:t>③建立环境监理制度，加强对</w:t>
      </w:r>
      <w:r>
        <w:rPr>
          <w:rFonts w:hint="eastAsia" w:ascii="Times New Roman" w:hAnsi="Times New Roman" w:cs="Times New Roman"/>
        </w:rPr>
        <w:t>矿山</w:t>
      </w:r>
      <w:r>
        <w:rPr>
          <w:rFonts w:ascii="Times New Roman" w:hAnsi="Times New Roman" w:cs="Times New Roman"/>
        </w:rPr>
        <w:t>开采活动的环境监理，预防和减少环境污染和生态破坏。</w:t>
      </w:r>
    </w:p>
    <w:p>
      <w:pPr>
        <w:pStyle w:val="30"/>
      </w:pPr>
      <w:bookmarkStart w:id="321" w:name="_Toc517446144"/>
      <w:bookmarkStart w:id="322" w:name="_Toc280364640"/>
      <w:bookmarkStart w:id="323" w:name="_Toc517445886"/>
      <w:bookmarkStart w:id="324" w:name="_Toc279699267"/>
      <w:bookmarkStart w:id="325" w:name="_Toc205720083"/>
      <w:bookmarkStart w:id="326" w:name="_Toc71036689"/>
      <w:bookmarkStart w:id="327" w:name="_Toc517445125"/>
      <w:bookmarkStart w:id="328" w:name="_Toc1702"/>
      <w:bookmarkStart w:id="329" w:name="_Toc517446458"/>
      <w:bookmarkStart w:id="330" w:name="_Toc4423"/>
      <w:r>
        <w:t>8.2  组织保障</w:t>
      </w:r>
      <w:bookmarkEnd w:id="321"/>
      <w:bookmarkEnd w:id="322"/>
      <w:bookmarkEnd w:id="323"/>
      <w:bookmarkEnd w:id="324"/>
      <w:bookmarkEnd w:id="325"/>
      <w:bookmarkEnd w:id="326"/>
      <w:bookmarkEnd w:id="327"/>
      <w:bookmarkEnd w:id="328"/>
      <w:bookmarkEnd w:id="329"/>
      <w:bookmarkEnd w:id="330"/>
    </w:p>
    <w:p>
      <w:pPr>
        <w:pStyle w:val="29"/>
        <w:spacing w:line="500" w:lineRule="exact"/>
        <w:rPr>
          <w:rFonts w:ascii="Times New Roman" w:hAnsi="Times New Roman" w:cs="Times New Roman"/>
        </w:rPr>
      </w:pPr>
      <w:bookmarkStart w:id="331" w:name="_Toc233180777"/>
      <w:bookmarkEnd w:id="331"/>
      <w:bookmarkStart w:id="332" w:name="_Toc251692821"/>
      <w:bookmarkEnd w:id="332"/>
      <w:bookmarkStart w:id="333" w:name="_Toc256335028"/>
      <w:bookmarkEnd w:id="333"/>
      <w:r>
        <w:rPr>
          <w:rFonts w:ascii="Times New Roman" w:hAnsi="Times New Roman" w:cs="Times New Roman"/>
        </w:rPr>
        <w:t>矿方领导要像抓生产、抓安全、抓效益一样抓生态治理，做好组织动员、资金保障、责任落实、监督检查、协调指挥等组织领导工作，保证这项工程顺利有序的开展。</w:t>
      </w:r>
    </w:p>
    <w:p>
      <w:pPr>
        <w:pStyle w:val="29"/>
        <w:spacing w:line="500" w:lineRule="exact"/>
        <w:rPr>
          <w:rFonts w:ascii="Times New Roman" w:hAnsi="Times New Roman" w:cs="Times New Roman"/>
        </w:rPr>
      </w:pPr>
      <w:r>
        <w:rPr>
          <w:rFonts w:ascii="Times New Roman" w:hAnsi="Times New Roman" w:cs="Times New Roman"/>
        </w:rPr>
        <w:t>1）矿方应设立矿山生态环境恢复治理领导小组，由单位主要负责人担任工程领导组组长，负责组织实施本单位的生态治理工程。各部门指定专门的技术人员配合该工作，建立生态保护统计体系。加强部门合作，建立和完善部门协调机制。</w:t>
      </w:r>
    </w:p>
    <w:p>
      <w:pPr>
        <w:pStyle w:val="29"/>
        <w:spacing w:line="500" w:lineRule="exact"/>
        <w:rPr>
          <w:rFonts w:ascii="Times New Roman" w:hAnsi="Times New Roman" w:cs="Times New Roman"/>
        </w:rPr>
      </w:pPr>
      <w:r>
        <w:rPr>
          <w:rFonts w:ascii="Times New Roman" w:hAnsi="Times New Roman" w:cs="Times New Roman"/>
        </w:rPr>
        <w:t>2）在项目实施施工中，应征求采纳有关部门的意见。生态环境恢复治理管理应贯穿项目建设和运营全过程，并对建设项目的不同阶段制定相应的管理条例，确保方案中的各项工程落实到位，圆满实施。</w:t>
      </w:r>
    </w:p>
    <w:p>
      <w:pPr>
        <w:pStyle w:val="29"/>
        <w:spacing w:line="360" w:lineRule="auto"/>
        <w:rPr>
          <w:rFonts w:ascii="Times New Roman" w:hAnsi="Times New Roman" w:cs="Times New Roman"/>
        </w:rPr>
      </w:pPr>
    </w:p>
    <w:p>
      <w:pPr>
        <w:pStyle w:val="30"/>
      </w:pPr>
      <w:bookmarkStart w:id="334" w:name="_Toc233180779"/>
      <w:bookmarkEnd w:id="334"/>
      <w:bookmarkStart w:id="335" w:name="_Toc256335030"/>
      <w:bookmarkEnd w:id="335"/>
      <w:bookmarkStart w:id="336" w:name="_Toc251692823"/>
      <w:bookmarkEnd w:id="336"/>
      <w:bookmarkStart w:id="337" w:name="_Toc261094499"/>
      <w:bookmarkStart w:id="338" w:name="_Toc280364643"/>
      <w:bookmarkStart w:id="339" w:name="_Toc17582"/>
      <w:bookmarkStart w:id="340" w:name="_Toc279699270"/>
      <w:bookmarkStart w:id="341" w:name="_Toc517446459"/>
      <w:bookmarkStart w:id="342" w:name="_Toc517445887"/>
      <w:bookmarkStart w:id="343" w:name="_Toc517445126"/>
      <w:bookmarkStart w:id="344" w:name="_Toc517446145"/>
      <w:bookmarkStart w:id="345" w:name="_Toc18024"/>
      <w:bookmarkStart w:id="346" w:name="_Toc71036690"/>
      <w:r>
        <w:t>8.3 资金</w:t>
      </w:r>
      <w:bookmarkEnd w:id="337"/>
      <w:bookmarkEnd w:id="338"/>
      <w:bookmarkEnd w:id="339"/>
      <w:bookmarkEnd w:id="340"/>
      <w:r>
        <w:t>保障</w:t>
      </w:r>
      <w:bookmarkEnd w:id="341"/>
      <w:bookmarkEnd w:id="342"/>
      <w:bookmarkEnd w:id="343"/>
      <w:bookmarkEnd w:id="344"/>
      <w:bookmarkEnd w:id="345"/>
      <w:bookmarkEnd w:id="346"/>
    </w:p>
    <w:p>
      <w:pPr>
        <w:pStyle w:val="29"/>
        <w:spacing w:line="500" w:lineRule="exact"/>
        <w:ind w:firstLine="480" w:firstLineChars="200"/>
        <w:rPr>
          <w:rFonts w:ascii="Times New Roman" w:hAnsi="Times New Roman" w:cs="Times New Roman"/>
        </w:rPr>
      </w:pPr>
      <w:bookmarkStart w:id="347" w:name="_Toc256335034"/>
      <w:r>
        <w:rPr>
          <w:rFonts w:ascii="Times New Roman" w:hAnsi="Times New Roman" w:cs="Times New Roman"/>
        </w:rPr>
        <w:t>本项目矿生态环境恢复治理工程投资估算为</w:t>
      </w:r>
      <w:r>
        <w:rPr>
          <w:rFonts w:hint="eastAsia" w:ascii="Times New Roman" w:hAnsi="Times New Roman" w:cs="Times New Roman"/>
        </w:rPr>
        <w:t>51</w:t>
      </w:r>
      <w:r>
        <w:rPr>
          <w:rFonts w:ascii="Times New Roman" w:hAnsi="Times New Roman" w:cs="Times New Roman"/>
        </w:rPr>
        <w:t>万元</w:t>
      </w:r>
      <w:bookmarkEnd w:id="347"/>
      <w:r>
        <w:rPr>
          <w:rFonts w:ascii="Times New Roman" w:hAnsi="Times New Roman" w:cs="Times New Roman"/>
        </w:rPr>
        <w:t>，全部由企业自筹。</w:t>
      </w:r>
      <w:bookmarkStart w:id="348" w:name="_Toc233180780"/>
      <w:bookmarkEnd w:id="348"/>
      <w:bookmarkStart w:id="349" w:name="_Toc251692827"/>
      <w:bookmarkEnd w:id="349"/>
      <w:bookmarkStart w:id="350" w:name="_Toc261094502"/>
      <w:bookmarkEnd w:id="350"/>
      <w:r>
        <w:rPr>
          <w:rFonts w:ascii="Times New Roman" w:hAnsi="Times New Roman" w:cs="Times New Roman"/>
        </w:rPr>
        <w:t>建议当地建立生态恢复保证金制度，确保生态恢复的进行。</w:t>
      </w:r>
    </w:p>
    <w:p>
      <w:pPr>
        <w:pStyle w:val="30"/>
      </w:pPr>
      <w:bookmarkStart w:id="351" w:name="_Toc7312"/>
      <w:bookmarkStart w:id="352" w:name="_Toc71036691"/>
      <w:bookmarkStart w:id="353" w:name="_Toc517446460"/>
      <w:bookmarkStart w:id="354" w:name="_Toc517445127"/>
      <w:bookmarkStart w:id="355" w:name="_Toc517445888"/>
      <w:bookmarkStart w:id="356" w:name="_Toc517446146"/>
      <w:r>
        <w:t>8.4 技术保障</w:t>
      </w:r>
      <w:bookmarkEnd w:id="351"/>
      <w:bookmarkEnd w:id="352"/>
      <w:bookmarkEnd w:id="353"/>
      <w:bookmarkEnd w:id="354"/>
      <w:bookmarkEnd w:id="355"/>
      <w:bookmarkEnd w:id="356"/>
    </w:p>
    <w:p>
      <w:pPr>
        <w:pStyle w:val="29"/>
        <w:spacing w:line="360" w:lineRule="auto"/>
        <w:rPr>
          <w:rFonts w:ascii="Times New Roman" w:hAnsi="Times New Roman" w:cs="Times New Roman"/>
        </w:rPr>
      </w:pPr>
      <w:r>
        <w:rPr>
          <w:rFonts w:ascii="Times New Roman" w:hAnsi="Times New Roman" w:cs="Times New Roman"/>
        </w:rPr>
        <w:t>要采用先进技术，制定切实可行的技术方案，为规划项目提供后续技术支撑，提高项目实施的可行性和科学性。要健全组织机构，规范管理制度，建立质量、技术保证体系，在方案论证、技术选用，工程施工，资金使用、项目验收等方面实行严格的管理监督，提高管理水平，确保生态治理质量与成效。严格执行工程建设程序，通过计划、设计、预算、招标、包建程序，做好工程实施前的准备工作，通过强化建设单位责任和工程监理，对工程施工过程中的造价、质量、进度进行全方位的控制。通过严格的工程验收，质保期责任的结算付款程序，确保工程质量达标后再交付使用。</w:t>
      </w:r>
    </w:p>
    <w:p>
      <w:pPr>
        <w:pStyle w:val="30"/>
      </w:pPr>
      <w:bookmarkStart w:id="357" w:name="_Toc1215"/>
      <w:bookmarkStart w:id="358" w:name="_Toc517446147"/>
      <w:bookmarkStart w:id="359" w:name="_Toc71036692"/>
      <w:bookmarkStart w:id="360" w:name="_Toc517445128"/>
      <w:bookmarkStart w:id="361" w:name="_Toc517446461"/>
      <w:bookmarkStart w:id="362" w:name="_Toc517445889"/>
      <w:r>
        <w:t>8.5 山区绿化用水保障措施</w:t>
      </w:r>
      <w:bookmarkEnd w:id="357"/>
      <w:bookmarkEnd w:id="358"/>
      <w:bookmarkEnd w:id="359"/>
      <w:bookmarkEnd w:id="360"/>
      <w:bookmarkEnd w:id="361"/>
      <w:bookmarkEnd w:id="362"/>
    </w:p>
    <w:p>
      <w:pPr>
        <w:pStyle w:val="29"/>
        <w:spacing w:line="500" w:lineRule="exact"/>
        <w:ind w:firstLine="480" w:firstLineChars="200"/>
        <w:rPr>
          <w:rFonts w:ascii="Times New Roman" w:hAnsi="Times New Roman" w:cs="Times New Roman"/>
        </w:rPr>
      </w:pPr>
      <w:r>
        <w:rPr>
          <w:rFonts w:ascii="Times New Roman" w:hAnsi="Times New Roman" w:cs="Times New Roman"/>
        </w:rPr>
        <w:t>山区绿化用水一直是个难题，山上无市政供水管线，需要工作人员开车长途运输，耗费大量人力物力。建议矿方在工业场地宽阔处建设蓄水池，收集场地内及坡面雨水，</w:t>
      </w:r>
    </w:p>
    <w:p>
      <w:pPr>
        <w:pStyle w:val="29"/>
        <w:spacing w:line="500" w:lineRule="exact"/>
        <w:ind w:firstLine="0"/>
        <w:rPr>
          <w:rFonts w:ascii="Times New Roman" w:hAnsi="Times New Roman" w:cs="Times New Roman"/>
        </w:rPr>
      </w:pPr>
      <w:r>
        <w:rPr>
          <w:rFonts w:ascii="Times New Roman" w:hAnsi="Times New Roman" w:cs="Times New Roman"/>
        </w:rPr>
        <w:t>蓄水池底部需做防渗处理，顶部加盖，进水口设置防污物篦子，另一端设置溢水口，一旦雨水量过大要有可排水路径。干旱时用于绿化灌溉，不仅极大缩短了水车运距，还达到节水、用水及时的作用。</w:t>
      </w:r>
    </w:p>
    <w:p>
      <w:pPr>
        <w:pStyle w:val="28"/>
        <w:rPr>
          <w:rFonts w:ascii="Times New Roman" w:hAnsi="Times New Roman" w:cs="Times New Roman"/>
        </w:rPr>
        <w:sectPr>
          <w:pgSz w:w="11906" w:h="16838"/>
          <w:pgMar w:top="1417" w:right="1417" w:bottom="1417" w:left="1417" w:header="851" w:footer="850" w:gutter="0"/>
          <w:cols w:space="425" w:num="1"/>
          <w:docGrid w:type="lines" w:linePitch="312" w:charSpace="0"/>
        </w:sectPr>
      </w:pPr>
    </w:p>
    <w:p>
      <w:pPr>
        <w:pStyle w:val="3"/>
        <w:rPr>
          <w:rFonts w:ascii="Times New Roman" w:hAnsi="Times New Roman"/>
        </w:rPr>
      </w:pPr>
      <w:bookmarkStart w:id="363" w:name="_Toc71036693"/>
      <w:r>
        <w:rPr>
          <w:rFonts w:ascii="Times New Roman" w:hAnsi="Times New Roman"/>
        </w:rPr>
        <w:t>9  建议</w:t>
      </w:r>
      <w:bookmarkEnd w:id="363"/>
    </w:p>
    <w:p>
      <w:pPr>
        <w:ind w:firstLine="496"/>
        <w:rPr>
          <w:rFonts w:ascii="Times New Roman" w:hAnsi="Times New Roman"/>
        </w:rPr>
      </w:pPr>
      <w:r>
        <w:rPr>
          <w:rFonts w:ascii="Times New Roman" w:hAnsi="Times New Roman"/>
        </w:rPr>
        <w:t>1．提高治理质量，不做表面文章。</w:t>
      </w:r>
    </w:p>
    <w:p>
      <w:pPr>
        <w:ind w:firstLine="496"/>
        <w:rPr>
          <w:rFonts w:ascii="Times New Roman" w:hAnsi="Times New Roman"/>
        </w:rPr>
      </w:pPr>
      <w:r>
        <w:rPr>
          <w:rFonts w:ascii="Times New Roman" w:hAnsi="Times New Roman"/>
        </w:rPr>
        <w:t>植物的生存与生长需要一定的生态环境支持。目前矿山治理过程中的一些树苗和草本植物的种植所依赖的土层较薄，哪怕暂时能够满足植株的生存需求，也不能满足植株进一步的生长需要，长远来看将会影响系统的自我良性运行。</w:t>
      </w:r>
    </w:p>
    <w:p>
      <w:pPr>
        <w:ind w:firstLine="496"/>
        <w:rPr>
          <w:rFonts w:ascii="Times New Roman" w:hAnsi="Times New Roman"/>
        </w:rPr>
      </w:pPr>
      <w:r>
        <w:rPr>
          <w:rFonts w:ascii="Times New Roman" w:hAnsi="Times New Roman"/>
        </w:rPr>
        <w:t>2．植物品种的选择应从植物生理学和生态学特性认真考虑，根据适地适树的原则来选取，并且多品种配置。</w:t>
      </w:r>
    </w:p>
    <w:p>
      <w:pPr>
        <w:ind w:firstLine="496"/>
        <w:rPr>
          <w:rFonts w:ascii="Times New Roman" w:hAnsi="Times New Roman"/>
        </w:rPr>
      </w:pPr>
      <w:r>
        <w:rPr>
          <w:rFonts w:ascii="Times New Roman" w:hAnsi="Times New Roman"/>
        </w:rPr>
        <w:t>目前在选择植物品种时，存在着单纯重视一时效果的倾向，对系统的长远发展考虑偏少。如大量选用外来单一速生树种就是一个例子。外来树种虽然生长快，见效快，但大多蒸腾需水量大，衰退早，长远来看，存在隐患。而且，目前石场治理过程中部分树木生长的底土层薄，环境条件差，对速生树种尤其不利，不能满足其长远生长的要求。在具体实施中，植物配置应以中长期效果为主，兼顾前期效果。要因地制宜，适地适树，尽量选择根系发达、生长迅速、适应粗放管理、耐干旱、耐贫瘠的植物品种，要做到乔灌藤草相结合。只有采取乔、灌、藤、草综合配置，才能达到保持水土、恢复生态的目的。生态修复成果来之不易，要充分依靠水土保持法、矿产资源法等法律，加强封山禁牧，强化成果管护，严厉打击各种盗采行为，确保矿产资源的科学有序的开发与合理利用。</w:t>
      </w:r>
    </w:p>
    <w:p>
      <w:pPr>
        <w:ind w:firstLine="496"/>
        <w:rPr>
          <w:rFonts w:ascii="Times New Roman" w:hAnsi="Times New Roman"/>
        </w:rPr>
      </w:pPr>
      <w:r>
        <w:rPr>
          <w:rFonts w:ascii="Times New Roman" w:hAnsi="Times New Roman"/>
        </w:rPr>
        <w:t>3．由于矿山的土壤较为贫瘠，土地覆盖率较低，因此，在植被恢复时的重点在于采场的水土保持工作，水土流失防治应采取工程措施和生物措施相结合的方法，达到有效减少水土流失的目的。只有在开采前后做好相应的防治措施，才有利于生物多样性和生态环境的发展，才能使生态环境受到的不良影响降到最低。</w:t>
      </w:r>
    </w:p>
    <w:p>
      <w:pPr>
        <w:ind w:firstLine="496"/>
        <w:rPr>
          <w:rFonts w:ascii="Times New Roman" w:hAnsi="Times New Roman"/>
        </w:rPr>
      </w:pPr>
      <w:r>
        <w:rPr>
          <w:rFonts w:ascii="Times New Roman" w:hAnsi="Times New Roman"/>
        </w:rPr>
        <w:t>4．植被的养护</w:t>
      </w:r>
    </w:p>
    <w:p>
      <w:pPr>
        <w:ind w:firstLine="496"/>
        <w:rPr>
          <w:rFonts w:ascii="Times New Roman" w:hAnsi="Times New Roman"/>
        </w:rPr>
      </w:pPr>
      <w:r>
        <w:rPr>
          <w:rFonts w:ascii="Times New Roman" w:hAnsi="Times New Roman"/>
        </w:rPr>
        <w:t>初步生态恢复后，生态环境还相当的脆弱，如不进行科学的养护，那么生态恢复工程极有可能前功尽弃。</w:t>
      </w:r>
    </w:p>
    <w:p>
      <w:pPr>
        <w:ind w:firstLine="496"/>
        <w:rPr>
          <w:rFonts w:ascii="Times New Roman" w:hAnsi="Times New Roman"/>
        </w:rPr>
      </w:pPr>
      <w:r>
        <w:rPr>
          <w:rFonts w:ascii="Times New Roman" w:hAnsi="Times New Roman"/>
        </w:rPr>
        <w:t>5．安全边坡的治理</w:t>
      </w:r>
    </w:p>
    <w:p>
      <w:pPr>
        <w:ind w:firstLine="496"/>
        <w:rPr>
          <w:rFonts w:ascii="Times New Roman" w:hAnsi="Times New Roman"/>
        </w:rPr>
      </w:pPr>
      <w:r>
        <w:rPr>
          <w:rFonts w:hint="eastAsia" w:ascii="Times New Roman" w:hAnsi="Times New Roman"/>
        </w:rPr>
        <w:t>按照</w:t>
      </w:r>
      <w:r>
        <w:rPr>
          <w:rFonts w:ascii="Times New Roman" w:hAnsi="Times New Roman"/>
        </w:rPr>
        <w:t>开采设计留设边坡及平台。</w:t>
      </w:r>
    </w:p>
    <w:p>
      <w:pPr>
        <w:ind w:firstLine="496"/>
        <w:rPr>
          <w:rFonts w:ascii="Times New Roman" w:hAnsi="Times New Roman"/>
        </w:rPr>
      </w:pPr>
      <w:r>
        <w:rPr>
          <w:rFonts w:ascii="Times New Roman" w:hAnsi="Times New Roman"/>
        </w:rPr>
        <w:t>6．建立保证措施</w:t>
      </w:r>
    </w:p>
    <w:p>
      <w:pPr>
        <w:ind w:firstLine="496"/>
        <w:rPr>
          <w:rFonts w:ascii="Times New Roman" w:hAnsi="Times New Roman"/>
        </w:rPr>
      </w:pPr>
      <w:r>
        <w:rPr>
          <w:rFonts w:ascii="Times New Roman" w:hAnsi="Times New Roman"/>
        </w:rPr>
        <w:t>保证措施主要体现在政策保障、资金保障和科技保障等方面。</w:t>
      </w:r>
    </w:p>
    <w:p>
      <w:pPr>
        <w:ind w:firstLine="496"/>
        <w:rPr>
          <w:rFonts w:ascii="Times New Roman" w:hAnsi="Times New Roman"/>
        </w:rPr>
      </w:pPr>
      <w:r>
        <w:rPr>
          <w:rFonts w:ascii="Times New Roman" w:hAnsi="Times New Roman"/>
        </w:rPr>
        <w:t>（1）政策保障</w:t>
      </w:r>
    </w:p>
    <w:p>
      <w:pPr>
        <w:ind w:firstLine="480"/>
        <w:rPr>
          <w:rFonts w:ascii="Times New Roman" w:hAnsi="Times New Roman"/>
        </w:rPr>
      </w:pPr>
      <w:r>
        <w:rPr>
          <w:rFonts w:ascii="Times New Roman" w:hAnsi="Times New Roman"/>
        </w:rPr>
        <w:fldChar w:fldCharType="begin"/>
      </w:r>
      <w:r>
        <w:rPr>
          <w:rFonts w:ascii="Times New Roman" w:hAnsi="Times New Roman"/>
        </w:rPr>
        <w:instrText xml:space="preserve"> = 1 \* GB3 </w:instrText>
      </w:r>
      <w:r>
        <w:rPr>
          <w:rFonts w:ascii="Times New Roman" w:hAnsi="Times New Roman"/>
        </w:rPr>
        <w:fldChar w:fldCharType="separate"/>
      </w:r>
      <w:r>
        <w:rPr>
          <w:rFonts w:ascii="Times New Roman" w:hAnsi="Times New Roman"/>
        </w:rPr>
        <w:t>①</w:t>
      </w:r>
      <w:r>
        <w:rPr>
          <w:rFonts w:ascii="Times New Roman" w:hAnsi="Times New Roman"/>
        </w:rPr>
        <w:fldChar w:fldCharType="end"/>
      </w:r>
      <w:r>
        <w:rPr>
          <w:rFonts w:ascii="Times New Roman" w:hAnsi="Times New Roman"/>
        </w:rPr>
        <w:t>政策法规和部门支持措施</w:t>
      </w:r>
    </w:p>
    <w:p>
      <w:pPr>
        <w:ind w:firstLine="496"/>
        <w:rPr>
          <w:rFonts w:ascii="Times New Roman" w:hAnsi="Times New Roman"/>
        </w:rPr>
      </w:pPr>
      <w:r>
        <w:rPr>
          <w:rFonts w:ascii="Times New Roman" w:hAnsi="Times New Roman"/>
        </w:rPr>
        <w:t>本方案经环保部门审定批准后实施，将作为该矿的矿山生态环境保护与综合治理的重要依据，根据国家及地方相关政策法规的规定，相关部门应提供必要的政策和资金支持，方案中设立的建设和治理项目可向相关部门提交可行性研究报告，以获得政策倾斜和专项资金的支持。</w:t>
      </w:r>
    </w:p>
    <w:p>
      <w:pPr>
        <w:ind w:firstLine="480"/>
        <w:rPr>
          <w:rFonts w:ascii="Times New Roman" w:hAnsi="Times New Roman"/>
        </w:rPr>
      </w:pPr>
      <w:r>
        <w:rPr>
          <w:rFonts w:ascii="Times New Roman" w:hAnsi="Times New Roman"/>
        </w:rPr>
        <w:fldChar w:fldCharType="begin"/>
      </w:r>
      <w:r>
        <w:rPr>
          <w:rFonts w:ascii="Times New Roman" w:hAnsi="Times New Roman"/>
        </w:rPr>
        <w:instrText xml:space="preserve"> = 2 \* GB3 </w:instrText>
      </w:r>
      <w:r>
        <w:rPr>
          <w:rFonts w:ascii="Times New Roman" w:hAnsi="Times New Roman"/>
        </w:rPr>
        <w:fldChar w:fldCharType="separate"/>
      </w:r>
      <w:r>
        <w:rPr>
          <w:rFonts w:ascii="Times New Roman" w:hAnsi="Times New Roman"/>
        </w:rPr>
        <w:t>②</w:t>
      </w:r>
      <w:r>
        <w:rPr>
          <w:rFonts w:ascii="Times New Roman" w:hAnsi="Times New Roman"/>
        </w:rPr>
        <w:fldChar w:fldCharType="end"/>
      </w:r>
      <w:r>
        <w:rPr>
          <w:rFonts w:ascii="Times New Roman" w:hAnsi="Times New Roman"/>
        </w:rPr>
        <w:t>加强执法、监管力度</w:t>
      </w:r>
    </w:p>
    <w:p>
      <w:pPr>
        <w:ind w:firstLine="496"/>
        <w:rPr>
          <w:rFonts w:ascii="Times New Roman" w:hAnsi="Times New Roman"/>
        </w:rPr>
      </w:pPr>
      <w:r>
        <w:rPr>
          <w:rFonts w:ascii="Times New Roman" w:hAnsi="Times New Roman"/>
        </w:rPr>
        <w:t>认真贯彻执行国家法律法规，完善地方配套法规。同时鉴于生态环境恢复建设的复杂性和特殊性，需要制定有针对性的管理办法。特别要加强建设项目环境影响评价法的执行力度。</w:t>
      </w:r>
    </w:p>
    <w:p>
      <w:pPr>
        <w:ind w:firstLine="496"/>
        <w:rPr>
          <w:rFonts w:ascii="Times New Roman" w:hAnsi="Times New Roman"/>
        </w:rPr>
      </w:pPr>
      <w:r>
        <w:rPr>
          <w:rFonts w:ascii="Times New Roman" w:hAnsi="Times New Roman"/>
        </w:rPr>
        <w:t>按照“环境影响评价法”的规定，对矿山资源开发的有关专项规划进行环境影响评价。严格实施矿山开发规划的环境影响评价。对可能造成严重生态破坏和巨额经济损失的，必须禁采、限采或采取有效保护和防范措施。</w:t>
      </w:r>
    </w:p>
    <w:p>
      <w:pPr>
        <w:ind w:firstLine="496"/>
        <w:rPr>
          <w:rFonts w:ascii="Times New Roman" w:hAnsi="Times New Roman"/>
        </w:rPr>
      </w:pPr>
      <w:r>
        <w:rPr>
          <w:rFonts w:ascii="Times New Roman" w:hAnsi="Times New Roman"/>
        </w:rPr>
        <w:t>建立环境监理制度，加强对矿山开采活动的环境监理，预防和减少环境污染和生态破坏。</w:t>
      </w:r>
    </w:p>
    <w:p>
      <w:pPr>
        <w:ind w:firstLine="496"/>
        <w:rPr>
          <w:rFonts w:ascii="Times New Roman" w:hAnsi="Times New Roman"/>
        </w:rPr>
      </w:pPr>
      <w:r>
        <w:rPr>
          <w:rFonts w:ascii="Times New Roman" w:hAnsi="Times New Roman"/>
        </w:rPr>
        <w:t>采矿单位应设立专门的机构、主管等负责落实本方案的项目实施并主动协调取得土地管理部门、水利部门、环保部门、农村部门的配合和支持，在项目实施过程中，应征求采纳有关部门的意见。</w:t>
      </w:r>
    </w:p>
    <w:p>
      <w:pPr>
        <w:ind w:firstLine="496"/>
        <w:rPr>
          <w:rFonts w:ascii="Times New Roman" w:hAnsi="Times New Roman"/>
        </w:rPr>
      </w:pPr>
      <w:r>
        <w:rPr>
          <w:rFonts w:ascii="Times New Roman" w:hAnsi="Times New Roman"/>
        </w:rPr>
        <w:t>推进生态治理工程后评估制度按照《国务院关于落实科学发展观加强环境保护的决定》，对矿区生态恢复治理工程实行后评估制度。</w:t>
      </w:r>
    </w:p>
    <w:p>
      <w:pPr>
        <w:ind w:firstLine="496"/>
        <w:rPr>
          <w:rFonts w:ascii="Times New Roman" w:hAnsi="Times New Roman"/>
        </w:rPr>
      </w:pPr>
      <w:r>
        <w:rPr>
          <w:rFonts w:ascii="Times New Roman" w:hAnsi="Times New Roman"/>
        </w:rPr>
        <w:t>（2）资金保障</w:t>
      </w:r>
    </w:p>
    <w:p>
      <w:pPr>
        <w:ind w:firstLine="496"/>
        <w:rPr>
          <w:rFonts w:ascii="Times New Roman" w:hAnsi="Times New Roman"/>
        </w:rPr>
      </w:pPr>
      <w:r>
        <w:rPr>
          <w:rFonts w:ascii="Times New Roman" w:hAnsi="Times New Roman"/>
        </w:rPr>
        <w:t>建立采取生态恢复保证金制度，确保生态恢复的进行。</w:t>
      </w:r>
    </w:p>
    <w:p>
      <w:pPr>
        <w:ind w:firstLine="496"/>
        <w:rPr>
          <w:rFonts w:ascii="Times New Roman" w:hAnsi="Times New Roman"/>
        </w:rPr>
      </w:pPr>
      <w:r>
        <w:rPr>
          <w:rFonts w:ascii="Times New Roman" w:hAnsi="Times New Roman"/>
        </w:rPr>
        <w:t>（3）科学保障</w:t>
      </w:r>
    </w:p>
    <w:p>
      <w:pPr>
        <w:ind w:firstLine="496"/>
        <w:rPr>
          <w:rFonts w:ascii="Times New Roman" w:hAnsi="Times New Roman"/>
        </w:rPr>
      </w:pPr>
      <w:r>
        <w:rPr>
          <w:rFonts w:ascii="Times New Roman" w:hAnsi="Times New Roman"/>
        </w:rPr>
        <w:t>建立生态环境监测体系，及时对生态环境现状进行监测，准确对重点生态问题与生态破坏做出诊断。</w:t>
      </w:r>
    </w:p>
    <w:p>
      <w:pPr>
        <w:ind w:firstLine="496"/>
        <w:rPr>
          <w:rFonts w:ascii="Times New Roman" w:hAnsi="Times New Roman"/>
        </w:rPr>
      </w:pPr>
      <w:r>
        <w:rPr>
          <w:rFonts w:ascii="Times New Roman" w:hAnsi="Times New Roman"/>
        </w:rPr>
        <w:t>矿区应设置复垦和水土保持实施效果的监督人员，对生态恢复和保护工作进行监督。</w:t>
      </w:r>
    </w:p>
    <w:p>
      <w:pPr>
        <w:ind w:firstLine="496"/>
        <w:rPr>
          <w:rFonts w:ascii="Times New Roman" w:hAnsi="Times New Roman"/>
        </w:rPr>
      </w:pPr>
      <w:r>
        <w:rPr>
          <w:rFonts w:ascii="Times New Roman" w:hAnsi="Times New Roman"/>
        </w:rPr>
        <w:t>生态重建总体工程必须按规划中的有关技术进行，如因情况变化，需按当时生态重建规划的设计进行。</w:t>
      </w:r>
    </w:p>
    <w:p>
      <w:pPr>
        <w:ind w:firstLine="496"/>
        <w:rPr>
          <w:rFonts w:ascii="Times New Roman" w:hAnsi="Times New Roman"/>
          <w:b/>
        </w:rPr>
      </w:pPr>
      <w:r>
        <w:rPr>
          <w:rFonts w:ascii="Times New Roman" w:hAnsi="Times New Roman"/>
        </w:rPr>
        <w:t>矿区的生态恢复只有多管齐下，讲究方法，有效执行，才能得到可持续发展。</w:t>
      </w:r>
    </w:p>
    <w:p>
      <w:pPr>
        <w:pStyle w:val="28"/>
        <w:spacing w:line="240" w:lineRule="auto"/>
        <w:rPr>
          <w:rFonts w:ascii="Times New Roman" w:hAnsi="Times New Roman" w:cs="Times New Roman"/>
        </w:rPr>
      </w:pPr>
    </w:p>
    <w:sectPr>
      <w:pgSz w:w="11906" w:h="16838"/>
      <w:pgMar w:top="1417" w:right="1417" w:bottom="1417" w:left="1417" w:header="851" w:footer="850"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10006FF" w:usb1="4000205B" w:usb2="0000001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imes New Roman”“">
    <w:altName w:val="宋体"/>
    <w:panose1 w:val="00000000000000000000"/>
    <w:charset w:val="86"/>
    <w:family w:val="roman"/>
    <w:pitch w:val="default"/>
    <w:sig w:usb0="00000000" w:usb1="00000000" w:usb2="00000010" w:usb3="00000000" w:csb0="00040000" w:csb1="00000000"/>
  </w:font>
  <w:font w:name="华文新魏">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54062991"/>
    </w:sdtPr>
    <w:sdtContent>
      <w:p>
        <w:pPr>
          <w:pStyle w:val="14"/>
          <w:jc w:val="center"/>
          <w:rPr>
            <w:rStyle w:val="25"/>
          </w:rPr>
        </w:pPr>
        <w:r>
          <w:fldChar w:fldCharType="begin"/>
        </w:r>
        <w:r>
          <w:instrText xml:space="preserve">PAGE   \* MERGEFORMAT</w:instrText>
        </w:r>
        <w:r>
          <w:fldChar w:fldCharType="separate"/>
        </w:r>
        <w:r>
          <w:rPr>
            <w:lang w:val="zh-CN"/>
          </w:rPr>
          <w:t>7</w:t>
        </w:r>
        <w:r>
          <w:rPr>
            <w:lang w:val="zh-CN"/>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80"/>
      <w:rPr>
        <w:sz w:val="2"/>
        <w:szCs w:val="2"/>
      </w:rPr>
    </w:pPr>
    <w:r>
      <w:pict>
        <v:shape id="文本框 163" o:spid="_x0000_s4097" o:spt="202" type="#_x0000_t202" style="position:absolute;left:0pt;margin-left:322.55pt;margin-top:814.85pt;height:8.65pt;width:22.8pt;mso-position-horizontal-relative:page;mso-position-vertical-relative:page;mso-wrap-style:none;z-index:-251656192;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">
          <v:path/>
          <v:fill on="f" focussize="0,0"/>
          <v:stroke on="f" joinstyle="miter"/>
          <v:imagedata o:title=""/>
          <o:lock v:ext="edit"/>
          <v:textbox inset="0mm,0mm,0mm,0mm" style="mso-fit-shape-to-text:t;">
            <w:txbxContent>
              <w:p>
                <w:pPr>
                  <w:ind w:firstLine="480"/>
                </w:pPr>
                <w:r>
                  <w:fldChar w:fldCharType="begin"/>
                </w:r>
                <w:r>
                  <w:instrText xml:space="preserve"> PAGE \* MERGEFORMAT </w:instrText>
                </w:r>
                <w:r>
                  <w:fldChar w:fldCharType="separate"/>
                </w:r>
                <w:r>
                  <w:t>70</w:t>
                </w:r>
                <w:r>
                  <w:fldChar w:fldCharType="end"/>
                </w:r>
                <w:r>
                  <w:rPr>
                    <w:lang w:eastAsia="en-US" w:bidi="en-US"/>
                  </w:rPr>
                  <w:t>-</w:t>
                </w:r>
              </w:p>
            </w:txbxContent>
          </v:textbox>
        </v:shape>
      </w:pict>
    </w:r>
  </w:p>
  <w:p>
    <w:pPr>
      <w:ind w:firstLine="56"/>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Bdr>
        <w:top w:val="thinThickSmallGap" w:color="auto" w:sz="24" w:space="1"/>
      </w:pBdr>
      <w:rPr>
        <w:b w:val="0"/>
      </w:rPr>
    </w:pPr>
    <w:r>
      <w:rPr>
        <w:rStyle w:val="25"/>
        <w:rFonts w:hint="eastAsia"/>
      </w:rPr>
      <w:t>山西青阳天地环境科技有限公司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thickThinSmallGap" w:color="auto" w:sz="24" w:space="1"/>
      </w:pBdr>
      <w:jc w:val="left"/>
      <w:rPr>
        <w:rFonts w:ascii="楷体_GB2312" w:eastAsia="楷体_GB2312"/>
        <w:b/>
        <w:sz w:val="21"/>
        <w:szCs w:val="21"/>
      </w:rPr>
    </w:pPr>
    <w:r>
      <w:rPr>
        <w:rFonts w:ascii="楷体_GB2312" w:eastAsia="楷体_GB2312"/>
        <w:b/>
        <w:sz w:val="21"/>
        <w:szCs w:val="21"/>
      </w:rPr>
      <w:t>五台县安顺源石料有限公司</w:t>
    </w:r>
    <w:r>
      <w:rPr>
        <w:rFonts w:hint="eastAsia" w:ascii="楷体_GB2312" w:eastAsia="楷体_GB2312"/>
        <w:b/>
        <w:sz w:val="21"/>
        <w:szCs w:val="21"/>
      </w:rPr>
      <w:t>矿山生态环境保护与恢复治理方案</w:t>
    </w:r>
  </w:p>
  <w:p>
    <w:pPr>
      <w:pStyle w:val="1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thickThinSmallGap" w:color="auto" w:sz="24" w:space="1"/>
      </w:pBdr>
      <w:jc w:val="left"/>
      <w:rPr>
        <w:rFonts w:ascii="楷体_GB2312" w:eastAsia="楷体_GB2312"/>
        <w:b/>
        <w:sz w:val="21"/>
        <w:szCs w:val="21"/>
      </w:rPr>
    </w:pPr>
    <w:r>
      <w:rPr>
        <w:rFonts w:ascii="楷体_GB2312" w:eastAsia="楷体_GB2312"/>
        <w:b/>
        <w:sz w:val="21"/>
        <w:szCs w:val="21"/>
      </w:rPr>
      <w:t>五台县安顺源石料有限公司</w:t>
    </w:r>
    <w:r>
      <w:rPr>
        <w:rFonts w:hint="eastAsia" w:ascii="楷体_GB2312" w:eastAsia="楷体_GB2312"/>
        <w:b/>
        <w:sz w:val="21"/>
        <w:szCs w:val="21"/>
      </w:rPr>
      <w:t>矿山生态环境保护与恢复治理方案</w:t>
    </w:r>
  </w:p>
  <w:p>
    <w:pPr>
      <w:pStyle w:val="1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80"/>
      <w:rPr>
        <w:sz w:val="2"/>
        <w:szCs w:val="2"/>
      </w:rPr>
    </w:pPr>
    <w:r>
      <w:pict>
        <v:shape id="文本框 164" o:spid="_x0000_s4098" o:spt="202" type="#_x0000_t202" style="position:absolute;left:0pt;margin-left:121.4pt;margin-top:45.65pt;height:9.85pt;width:396pt;mso-position-horizontal-relative:page;mso-position-vertical-relative:page;z-index:-251657216;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">
          <v:path/>
          <v:fill on="f" focussize="0,0"/>
          <v:stroke on="f" joinstyle="miter"/>
          <v:imagedata o:title=""/>
          <o:lock v:ext="edit"/>
          <v:textbox inset="0mm,0mm,0mm,0mm" style="mso-fit-shape-to-text:t;">
            <w:txbxContent>
              <w:p>
                <w:pPr>
                  <w:tabs>
                    <w:tab w:val="right" w:pos="7920"/>
                  </w:tabs>
                  <w:ind w:firstLine="496"/>
                </w:pPr>
                <w:r>
                  <w:t>山西省农业科学院农业资源与经济研究所</w:t>
                </w:r>
                <w:r>
                  <w:tab/>
                </w:r>
                <w:r>
                  <w:t>新绛县生态经济区划</w:t>
                </w:r>
              </w:p>
            </w:txbxContent>
          </v:textbox>
        </v:shape>
      </w:pict>
    </w:r>
  </w:p>
  <w:p>
    <w:pPr>
      <w:ind w:firstLine="56"/>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27D9AD"/>
    <w:multiLevelType w:val="singleLevel"/>
    <w:tmpl w:val="DD27D9AD"/>
    <w:lvl w:ilvl="0" w:tentative="0">
      <w:start w:val="1"/>
      <w:numFmt w:val="decimal"/>
      <w:suff w:val="nothing"/>
      <w:lvlText w:val="%1、"/>
      <w:lvlJc w:val="left"/>
    </w:lvl>
  </w:abstractNum>
  <w:abstractNum w:abstractNumId="1">
    <w:nsid w:val="4F302902"/>
    <w:multiLevelType w:val="multilevel"/>
    <w:tmpl w:val="4F302902"/>
    <w:lvl w:ilvl="0" w:tentative="0">
      <w:start w:val="1"/>
      <w:numFmt w:val="none"/>
      <w:pStyle w:val="41"/>
      <w:lvlText w:val="表"/>
      <w:lvlJc w:val="left"/>
      <w:pPr>
        <w:tabs>
          <w:tab w:val="left" w:pos="360"/>
        </w:tabs>
        <w:ind w:left="0" w:firstLine="0"/>
      </w:pPr>
      <w:rPr>
        <w:rFonts w:hint="eastAsia" w:ascii="黑体" w:eastAsia="黑体"/>
        <w:b w:val="0"/>
        <w:i w:val="0"/>
        <w:sz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54250C8C"/>
    <w:multiLevelType w:val="singleLevel"/>
    <w:tmpl w:val="54250C8C"/>
    <w:lvl w:ilvl="0" w:tentative="0">
      <w:start w:val="3"/>
      <w:numFmt w:val="decimal"/>
      <w:suff w:val="nothing"/>
      <w:lvlText w:val="（%1）"/>
      <w:lvlJc w:val="left"/>
    </w:lvl>
  </w:abstractNum>
  <w:abstractNum w:abstractNumId="3">
    <w:nsid w:val="7E07F3FF"/>
    <w:multiLevelType w:val="singleLevel"/>
    <w:tmpl w:val="7E07F3FF"/>
    <w:lvl w:ilvl="0" w:tentative="0">
      <w:start w:val="1"/>
      <w:numFmt w:val="decimal"/>
      <w:suff w:val="nothing"/>
      <w:lvlText w:val="%1）"/>
      <w:lvlJc w:val="left"/>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HorizontalSpacing w:val="120"/>
  <w:drawingGridVerticalSpacing w:val="163"/>
  <w:displayHorizontalDrawingGridEvery w:val="0"/>
  <w:displayVerticalDrawingGridEvery w:val="2"/>
  <w:characterSpacingControl w:val="compressPunctuation"/>
  <w:hdrShapeDefaults>
    <o:shapelayout v:ext="edit">
      <o:idmap v:ext="edit" data="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677B2386"/>
    <w:rsid w:val="00034234"/>
    <w:rsid w:val="00062184"/>
    <w:rsid w:val="00074F18"/>
    <w:rsid w:val="000C4C44"/>
    <w:rsid w:val="00145D63"/>
    <w:rsid w:val="00165CE8"/>
    <w:rsid w:val="00186FBF"/>
    <w:rsid w:val="001934E9"/>
    <w:rsid w:val="00196D68"/>
    <w:rsid w:val="001B2068"/>
    <w:rsid w:val="001C4FA4"/>
    <w:rsid w:val="0022229D"/>
    <w:rsid w:val="002260E8"/>
    <w:rsid w:val="00237336"/>
    <w:rsid w:val="00264EB2"/>
    <w:rsid w:val="002921BE"/>
    <w:rsid w:val="002A4945"/>
    <w:rsid w:val="002C2FDB"/>
    <w:rsid w:val="002C53C4"/>
    <w:rsid w:val="002D6F0E"/>
    <w:rsid w:val="002E2A33"/>
    <w:rsid w:val="002F5414"/>
    <w:rsid w:val="00305C33"/>
    <w:rsid w:val="00312A73"/>
    <w:rsid w:val="00320886"/>
    <w:rsid w:val="0032712A"/>
    <w:rsid w:val="003335FB"/>
    <w:rsid w:val="0035126E"/>
    <w:rsid w:val="00390CD9"/>
    <w:rsid w:val="00391587"/>
    <w:rsid w:val="00393525"/>
    <w:rsid w:val="003A270C"/>
    <w:rsid w:val="003C22FC"/>
    <w:rsid w:val="003E504B"/>
    <w:rsid w:val="0040180F"/>
    <w:rsid w:val="00412E6A"/>
    <w:rsid w:val="0045581F"/>
    <w:rsid w:val="004A4527"/>
    <w:rsid w:val="004C641B"/>
    <w:rsid w:val="004D0330"/>
    <w:rsid w:val="004E582A"/>
    <w:rsid w:val="004F3F78"/>
    <w:rsid w:val="004F5307"/>
    <w:rsid w:val="00537053"/>
    <w:rsid w:val="0055031C"/>
    <w:rsid w:val="00564973"/>
    <w:rsid w:val="00580DF2"/>
    <w:rsid w:val="005B4E04"/>
    <w:rsid w:val="005D0408"/>
    <w:rsid w:val="005D0D0C"/>
    <w:rsid w:val="005D7FAB"/>
    <w:rsid w:val="00610BCD"/>
    <w:rsid w:val="00617736"/>
    <w:rsid w:val="0063541E"/>
    <w:rsid w:val="006658CA"/>
    <w:rsid w:val="0068747C"/>
    <w:rsid w:val="00687FC0"/>
    <w:rsid w:val="006A3045"/>
    <w:rsid w:val="006A6647"/>
    <w:rsid w:val="006A6F35"/>
    <w:rsid w:val="006A77F1"/>
    <w:rsid w:val="006A7A7D"/>
    <w:rsid w:val="006B0957"/>
    <w:rsid w:val="006D01E6"/>
    <w:rsid w:val="0071099F"/>
    <w:rsid w:val="00721E84"/>
    <w:rsid w:val="00734F7D"/>
    <w:rsid w:val="00772A50"/>
    <w:rsid w:val="00792FD9"/>
    <w:rsid w:val="007D5E61"/>
    <w:rsid w:val="007E3113"/>
    <w:rsid w:val="007E4057"/>
    <w:rsid w:val="0080017B"/>
    <w:rsid w:val="00802407"/>
    <w:rsid w:val="00804685"/>
    <w:rsid w:val="0081249B"/>
    <w:rsid w:val="00873CA7"/>
    <w:rsid w:val="008906CC"/>
    <w:rsid w:val="008A3FAE"/>
    <w:rsid w:val="008C7D46"/>
    <w:rsid w:val="008D2621"/>
    <w:rsid w:val="009109B8"/>
    <w:rsid w:val="00920DD4"/>
    <w:rsid w:val="009471C9"/>
    <w:rsid w:val="009506DD"/>
    <w:rsid w:val="00972E47"/>
    <w:rsid w:val="00980BAC"/>
    <w:rsid w:val="009831CC"/>
    <w:rsid w:val="009A3DC9"/>
    <w:rsid w:val="009A438A"/>
    <w:rsid w:val="009B46BF"/>
    <w:rsid w:val="009D2CB5"/>
    <w:rsid w:val="009F3924"/>
    <w:rsid w:val="00A10E1A"/>
    <w:rsid w:val="00A14137"/>
    <w:rsid w:val="00A21173"/>
    <w:rsid w:val="00A54BBC"/>
    <w:rsid w:val="00A937B9"/>
    <w:rsid w:val="00AD0D67"/>
    <w:rsid w:val="00AE2CE3"/>
    <w:rsid w:val="00AE528A"/>
    <w:rsid w:val="00B34691"/>
    <w:rsid w:val="00B74324"/>
    <w:rsid w:val="00BB457F"/>
    <w:rsid w:val="00BC2EAA"/>
    <w:rsid w:val="00BC39BF"/>
    <w:rsid w:val="00BC6360"/>
    <w:rsid w:val="00BE3FBA"/>
    <w:rsid w:val="00C15A1B"/>
    <w:rsid w:val="00C1708F"/>
    <w:rsid w:val="00C40B6C"/>
    <w:rsid w:val="00CA1D98"/>
    <w:rsid w:val="00CB1BE3"/>
    <w:rsid w:val="00CB60D9"/>
    <w:rsid w:val="00CC520E"/>
    <w:rsid w:val="00D116B0"/>
    <w:rsid w:val="00D25B86"/>
    <w:rsid w:val="00D70AF1"/>
    <w:rsid w:val="00D73B10"/>
    <w:rsid w:val="00D77DF9"/>
    <w:rsid w:val="00D87C23"/>
    <w:rsid w:val="00DA3543"/>
    <w:rsid w:val="00DD2466"/>
    <w:rsid w:val="00DF2522"/>
    <w:rsid w:val="00DF710F"/>
    <w:rsid w:val="00DF7495"/>
    <w:rsid w:val="00E1698C"/>
    <w:rsid w:val="00E22835"/>
    <w:rsid w:val="00E32F5A"/>
    <w:rsid w:val="00E82ABD"/>
    <w:rsid w:val="00E974A6"/>
    <w:rsid w:val="00F02184"/>
    <w:rsid w:val="00F05BF9"/>
    <w:rsid w:val="00F11744"/>
    <w:rsid w:val="00F64D62"/>
    <w:rsid w:val="00FB2819"/>
    <w:rsid w:val="00FB4708"/>
    <w:rsid w:val="00FC23DA"/>
    <w:rsid w:val="00FC3773"/>
    <w:rsid w:val="078F7AA9"/>
    <w:rsid w:val="159A254E"/>
    <w:rsid w:val="20F73CBD"/>
    <w:rsid w:val="26AC0CFF"/>
    <w:rsid w:val="2B23334A"/>
    <w:rsid w:val="371D3BED"/>
    <w:rsid w:val="385D26D3"/>
    <w:rsid w:val="39333235"/>
    <w:rsid w:val="3B1D56E3"/>
    <w:rsid w:val="3B250AFE"/>
    <w:rsid w:val="44EB43A7"/>
    <w:rsid w:val="555C1E2A"/>
    <w:rsid w:val="562579A2"/>
    <w:rsid w:val="62346E4E"/>
    <w:rsid w:val="62894B51"/>
    <w:rsid w:val="6449515D"/>
    <w:rsid w:val="67015A03"/>
    <w:rsid w:val="677B2386"/>
    <w:rsid w:val="69260E6E"/>
    <w:rsid w:val="6D322083"/>
    <w:rsid w:val="6D53502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rules v:ext="edit">
        <o:r id="V:Rule1" type="connector" idref="#自选图形 127"/>
        <o:r id="V:Rule2" type="connector" idref="#自选图形 129"/>
        <o:r id="V:Rule3" type="connector" idref="#自选图形 130"/>
        <o:r id="V:Rule4" type="connector" idref="#自选图形 134"/>
        <o:r id="V:Rule5" type="connector" idref="#自选图形 135"/>
        <o:r id="V:Rule6" type="connector" idref="#自选图形 140"/>
        <o:r id="V:Rule7" type="connector" idref="#自选图形 141"/>
        <o:r id="V:Rule8" type="connector" idref="#自选图形 142"/>
        <o:r id="V:Rule9" type="connector" idref="#自选图形 143"/>
        <o:r id="V:Rule10" type="connector" idref="#自选图形 144"/>
        <o:r id="V:Rule11" type="connector" idref="#自选图形 145"/>
        <o:r id="V:Rule12" type="connector" idref="#自选图形 146"/>
        <o:r id="V:Rule13" type="connector" idref="#自选图形 147"/>
        <o:r id="V:Rule14" type="connector" idref="#自选图形 151"/>
        <o:r id="V:Rule15" type="connector" idref="#自选图形 153"/>
        <o:r id="V:Rule16" type="connector" idref="#自选图形 154"/>
        <o:r id="V:Rule17" type="connector" idref="#自选图形 157"/>
        <o:r id="V:Rule18" type="connector" idref="#自选图形 158"/>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qFormat="1"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00" w:lineRule="exact"/>
      <w:jc w:val="both"/>
    </w:pPr>
    <w:rPr>
      <w:rFonts w:ascii="Calibri" w:hAnsi="Calibri" w:eastAsia="宋体" w:cs="Times New Roman"/>
      <w:kern w:val="2"/>
      <w:sz w:val="24"/>
      <w:szCs w:val="22"/>
      <w:lang w:val="en-US" w:eastAsia="zh-CN" w:bidi="ar-SA"/>
    </w:rPr>
  </w:style>
  <w:style w:type="paragraph" w:styleId="3">
    <w:name w:val="heading 1"/>
    <w:basedOn w:val="1"/>
    <w:next w:val="1"/>
    <w:qFormat/>
    <w:uiPriority w:val="0"/>
    <w:pPr>
      <w:keepNext/>
      <w:keepLines/>
      <w:spacing w:before="100" w:after="120" w:line="240" w:lineRule="auto"/>
      <w:outlineLvl w:val="0"/>
    </w:pPr>
    <w:rPr>
      <w:b/>
      <w:kern w:val="44"/>
      <w:sz w:val="44"/>
    </w:rPr>
  </w:style>
  <w:style w:type="paragraph" w:styleId="4">
    <w:name w:val="heading 2"/>
    <w:basedOn w:val="1"/>
    <w:next w:val="1"/>
    <w:link w:val="51"/>
    <w:unhideWhenUsed/>
    <w:qFormat/>
    <w:uiPriority w:val="0"/>
    <w:pPr>
      <w:keepNext/>
      <w:keepLines/>
      <w:spacing w:before="20" w:after="20" w:line="360" w:lineRule="auto"/>
      <w:outlineLvl w:val="1"/>
    </w:pPr>
    <w:rPr>
      <w:rFonts w:ascii="Arial" w:hAnsi="Arial" w:eastAsia="黑体"/>
      <w:sz w:val="30"/>
    </w:rPr>
  </w:style>
  <w:style w:type="paragraph" w:styleId="5">
    <w:name w:val="heading 3"/>
    <w:basedOn w:val="1"/>
    <w:next w:val="1"/>
    <w:link w:val="49"/>
    <w:semiHidden/>
    <w:unhideWhenUsed/>
    <w:qFormat/>
    <w:uiPriority w:val="0"/>
    <w:pPr>
      <w:keepNext/>
      <w:keepLines/>
      <w:spacing w:before="260" w:after="260" w:line="416" w:lineRule="atLeast"/>
      <w:outlineLvl w:val="2"/>
    </w:pPr>
    <w:rPr>
      <w:b/>
      <w:bCs/>
      <w:sz w:val="32"/>
      <w:szCs w:val="32"/>
    </w:rPr>
  </w:style>
  <w:style w:type="character" w:default="1" w:styleId="23">
    <w:name w:val="Default Paragraph Font"/>
    <w:semiHidden/>
    <w:unhideWhenUsed/>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rPr>
      <w:rFonts w:ascii="Arial" w:hAnsi="Arial" w:cs="Arial"/>
      <w:spacing w:val="10"/>
    </w:rPr>
  </w:style>
  <w:style w:type="paragraph" w:styleId="6">
    <w:name w:val="Note Heading"/>
    <w:basedOn w:val="1"/>
    <w:next w:val="1"/>
    <w:link w:val="53"/>
    <w:qFormat/>
    <w:uiPriority w:val="0"/>
    <w:pPr>
      <w:spacing w:line="240" w:lineRule="auto"/>
      <w:jc w:val="center"/>
    </w:pPr>
    <w:rPr>
      <w:rFonts w:ascii="Times New Roman" w:hAnsi="Times New Roman"/>
      <w:sz w:val="21"/>
      <w:szCs w:val="24"/>
    </w:rPr>
  </w:style>
  <w:style w:type="paragraph" w:styleId="7">
    <w:name w:val="annotation text"/>
    <w:basedOn w:val="1"/>
    <w:qFormat/>
    <w:uiPriority w:val="0"/>
    <w:pPr>
      <w:jc w:val="left"/>
    </w:pPr>
    <w:rPr>
      <w:rFonts w:ascii="Times New Roman" w:hAnsi="Times New Roman"/>
      <w:sz w:val="28"/>
      <w:szCs w:val="20"/>
    </w:rPr>
  </w:style>
  <w:style w:type="paragraph" w:styleId="8">
    <w:name w:val="Body Text Indent"/>
    <w:basedOn w:val="1"/>
    <w:link w:val="44"/>
    <w:qFormat/>
    <w:uiPriority w:val="0"/>
    <w:pPr>
      <w:spacing w:after="120"/>
      <w:ind w:left="420" w:leftChars="200"/>
    </w:pPr>
  </w:style>
  <w:style w:type="paragraph" w:styleId="9">
    <w:name w:val="toc 3"/>
    <w:basedOn w:val="1"/>
    <w:next w:val="1"/>
    <w:qFormat/>
    <w:uiPriority w:val="39"/>
    <w:pPr>
      <w:ind w:left="840" w:leftChars="400"/>
    </w:pPr>
  </w:style>
  <w:style w:type="paragraph" w:styleId="10">
    <w:name w:val="Plain Text"/>
    <w:basedOn w:val="1"/>
    <w:link w:val="37"/>
    <w:unhideWhenUsed/>
    <w:qFormat/>
    <w:uiPriority w:val="0"/>
    <w:pPr>
      <w:spacing w:line="240" w:lineRule="auto"/>
    </w:pPr>
    <w:rPr>
      <w:rFonts w:ascii="宋体" w:hAnsi="Courier New"/>
      <w:sz w:val="21"/>
    </w:rPr>
  </w:style>
  <w:style w:type="paragraph" w:styleId="11">
    <w:name w:val="toc 8"/>
    <w:basedOn w:val="1"/>
    <w:next w:val="1"/>
    <w:qFormat/>
    <w:uiPriority w:val="0"/>
    <w:pPr>
      <w:ind w:left="2940" w:leftChars="1400"/>
    </w:pPr>
  </w:style>
  <w:style w:type="paragraph" w:styleId="12">
    <w:name w:val="Date"/>
    <w:basedOn w:val="1"/>
    <w:next w:val="1"/>
    <w:link w:val="45"/>
    <w:qFormat/>
    <w:uiPriority w:val="0"/>
    <w:pPr>
      <w:ind w:left="100" w:leftChars="2500"/>
    </w:pPr>
  </w:style>
  <w:style w:type="paragraph" w:styleId="13">
    <w:name w:val="Balloon Text"/>
    <w:basedOn w:val="1"/>
    <w:link w:val="36"/>
    <w:qFormat/>
    <w:uiPriority w:val="0"/>
    <w:pPr>
      <w:spacing w:line="240" w:lineRule="auto"/>
    </w:pPr>
    <w:rPr>
      <w:sz w:val="18"/>
      <w:szCs w:val="18"/>
    </w:rPr>
  </w:style>
  <w:style w:type="paragraph" w:styleId="14">
    <w:name w:val="footer"/>
    <w:basedOn w:val="1"/>
    <w:link w:val="39"/>
    <w:qFormat/>
    <w:uiPriority w:val="99"/>
    <w:pPr>
      <w:tabs>
        <w:tab w:val="center" w:pos="4153"/>
        <w:tab w:val="right" w:pos="8306"/>
      </w:tabs>
      <w:snapToGrid w:val="0"/>
      <w:jc w:val="left"/>
    </w:pPr>
    <w:rPr>
      <w:sz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6">
    <w:name w:val="toc 1"/>
    <w:basedOn w:val="1"/>
    <w:next w:val="1"/>
    <w:qFormat/>
    <w:uiPriority w:val="39"/>
  </w:style>
  <w:style w:type="paragraph" w:styleId="17">
    <w:name w:val="toc 4"/>
    <w:basedOn w:val="1"/>
    <w:next w:val="1"/>
    <w:qFormat/>
    <w:uiPriority w:val="0"/>
    <w:pPr>
      <w:ind w:left="1260" w:leftChars="600"/>
    </w:pPr>
  </w:style>
  <w:style w:type="paragraph" w:styleId="18">
    <w:name w:val="List"/>
    <w:basedOn w:val="1"/>
    <w:qFormat/>
    <w:uiPriority w:val="0"/>
    <w:pPr>
      <w:snapToGrid w:val="0"/>
      <w:spacing w:line="240" w:lineRule="auto"/>
      <w:jc w:val="center"/>
    </w:pPr>
    <w:rPr>
      <w:rFonts w:ascii="Times New Roman" w:hAnsi="Times New Roman"/>
      <w:color w:val="000000"/>
      <w:spacing w:val="6"/>
      <w:kern w:val="0"/>
      <w:sz w:val="21"/>
      <w:szCs w:val="20"/>
    </w:rPr>
  </w:style>
  <w:style w:type="paragraph" w:styleId="19">
    <w:name w:val="table of figures"/>
    <w:basedOn w:val="1"/>
    <w:next w:val="1"/>
    <w:qFormat/>
    <w:uiPriority w:val="0"/>
    <w:pPr>
      <w:ind w:left="200" w:leftChars="200" w:hanging="200" w:hangingChars="200"/>
    </w:pPr>
  </w:style>
  <w:style w:type="paragraph" w:styleId="20">
    <w:name w:val="toc 2"/>
    <w:basedOn w:val="1"/>
    <w:next w:val="1"/>
    <w:qFormat/>
    <w:uiPriority w:val="39"/>
    <w:pPr>
      <w:ind w:left="420" w:leftChars="200"/>
    </w:pPr>
  </w:style>
  <w:style w:type="table" w:styleId="22">
    <w:name w:val="Table Grid"/>
    <w:basedOn w:val="21"/>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Strong"/>
    <w:qFormat/>
    <w:uiPriority w:val="0"/>
    <w:rPr>
      <w:b/>
      <w:bCs/>
    </w:rPr>
  </w:style>
  <w:style w:type="character" w:styleId="25">
    <w:name w:val="page number"/>
    <w:basedOn w:val="23"/>
    <w:qFormat/>
    <w:uiPriority w:val="0"/>
  </w:style>
  <w:style w:type="character" w:styleId="26">
    <w:name w:val="Hyperlink"/>
    <w:basedOn w:val="23"/>
    <w:unhideWhenUsed/>
    <w:qFormat/>
    <w:uiPriority w:val="99"/>
    <w:rPr>
      <w:color w:val="0563C1" w:themeColor="hyperlink"/>
      <w:u w:val="single"/>
    </w:rPr>
  </w:style>
  <w:style w:type="character" w:styleId="27">
    <w:name w:val="annotation reference"/>
    <w:qFormat/>
    <w:uiPriority w:val="0"/>
    <w:rPr>
      <w:sz w:val="21"/>
      <w:szCs w:val="21"/>
    </w:rPr>
  </w:style>
  <w:style w:type="paragraph" w:customStyle="1" w:styleId="28">
    <w:name w:val="Default"/>
    <w:qFormat/>
    <w:uiPriority w:val="0"/>
    <w:pPr>
      <w:widowControl w:val="0"/>
      <w:autoSpaceDE w:val="0"/>
      <w:autoSpaceDN w:val="0"/>
      <w:adjustRightInd w:val="0"/>
      <w:spacing w:line="500" w:lineRule="exact"/>
    </w:pPr>
    <w:rPr>
      <w:rFonts w:ascii="宋体" w:hAnsi="宋体" w:eastAsia="宋体" w:cs="宋体"/>
      <w:color w:val="000000"/>
      <w:sz w:val="24"/>
      <w:szCs w:val="24"/>
      <w:lang w:val="en-US" w:eastAsia="zh-CN" w:bidi="ar-SA"/>
    </w:rPr>
  </w:style>
  <w:style w:type="paragraph" w:customStyle="1" w:styleId="29">
    <w:name w:val="p23"/>
    <w:basedOn w:val="1"/>
    <w:qFormat/>
    <w:uiPriority w:val="0"/>
    <w:pPr>
      <w:widowControl/>
      <w:spacing w:line="480" w:lineRule="atLeast"/>
      <w:ind w:firstLine="420"/>
    </w:pPr>
    <w:rPr>
      <w:rFonts w:ascii="宋体" w:hAnsi="宋体" w:cs="宋体"/>
      <w:kern w:val="0"/>
      <w:szCs w:val="24"/>
    </w:rPr>
  </w:style>
  <w:style w:type="paragraph" w:customStyle="1" w:styleId="30">
    <w:name w:val="标题1.1"/>
    <w:basedOn w:val="1"/>
    <w:qFormat/>
    <w:uiPriority w:val="0"/>
    <w:pPr>
      <w:keepNext/>
      <w:keepLines/>
      <w:spacing w:before="60" w:after="60" w:line="240" w:lineRule="auto"/>
      <w:jc w:val="left"/>
      <w:outlineLvl w:val="1"/>
    </w:pPr>
    <w:rPr>
      <w:rFonts w:ascii="Times New Roman" w:hAnsi="Times New Roman" w:eastAsia="黑体"/>
      <w:sz w:val="30"/>
      <w:szCs w:val="28"/>
    </w:rPr>
  </w:style>
  <w:style w:type="paragraph" w:customStyle="1" w:styleId="31">
    <w:name w:val="标题1.1.1"/>
    <w:basedOn w:val="1"/>
    <w:qFormat/>
    <w:uiPriority w:val="0"/>
    <w:pPr>
      <w:keepNext/>
      <w:keepLines/>
      <w:spacing w:line="480" w:lineRule="exact"/>
      <w:outlineLvl w:val="2"/>
    </w:pPr>
    <w:rPr>
      <w:rFonts w:ascii="Times New Roman" w:hAnsi="Times New Roman" w:eastAsia="黑体"/>
      <w:bCs/>
    </w:rPr>
  </w:style>
  <w:style w:type="paragraph" w:customStyle="1" w:styleId="32">
    <w:name w:val="样式9"/>
    <w:basedOn w:val="1"/>
    <w:qFormat/>
    <w:uiPriority w:val="0"/>
    <w:pPr>
      <w:pBdr>
        <w:top w:val="thickThinSmallGap" w:color="auto" w:sz="24" w:space="1"/>
      </w:pBdr>
      <w:spacing w:line="240" w:lineRule="auto"/>
    </w:pPr>
    <w:rPr>
      <w:rFonts w:ascii="楷体_GB2312" w:hAnsi="Times New Roman" w:eastAsia="楷体_GB2312"/>
      <w:b/>
      <w:sz w:val="21"/>
      <w:szCs w:val="24"/>
    </w:rPr>
  </w:style>
  <w:style w:type="paragraph" w:customStyle="1" w:styleId="33">
    <w:name w:val="西山"/>
    <w:basedOn w:val="1"/>
    <w:qFormat/>
    <w:uiPriority w:val="0"/>
    <w:pPr>
      <w:spacing w:line="480" w:lineRule="exact"/>
      <w:ind w:firstLine="480" w:firstLineChars="200"/>
    </w:pPr>
    <w:rPr>
      <w:rFonts w:ascii="宋体" w:hAnsi="宋体"/>
      <w:szCs w:val="26"/>
    </w:rPr>
  </w:style>
  <w:style w:type="paragraph" w:customStyle="1" w:styleId="34">
    <w:name w:val="li 表头文字"/>
    <w:qFormat/>
    <w:uiPriority w:val="0"/>
    <w:pPr>
      <w:spacing w:line="460" w:lineRule="exact"/>
      <w:jc w:val="center"/>
    </w:pPr>
    <w:rPr>
      <w:rFonts w:ascii="Times New Roman" w:hAnsi="Times New Roman" w:eastAsia="宋体" w:cs="Times New Roman"/>
      <w:b/>
      <w:spacing w:val="4"/>
      <w:kern w:val="2"/>
      <w:sz w:val="21"/>
      <w:szCs w:val="21"/>
      <w:lang w:val="en-US" w:eastAsia="zh-CN" w:bidi="ar-SA"/>
    </w:rPr>
  </w:style>
  <w:style w:type="paragraph" w:customStyle="1" w:styleId="35">
    <w:name w:val="p0"/>
    <w:basedOn w:val="1"/>
    <w:qFormat/>
    <w:uiPriority w:val="0"/>
    <w:pPr>
      <w:widowControl/>
      <w:spacing w:before="100" w:beforeAutospacing="1" w:after="100" w:afterAutospacing="1"/>
      <w:jc w:val="left"/>
    </w:pPr>
    <w:rPr>
      <w:rFonts w:ascii="宋体" w:hAnsi="宋体" w:cs="宋体"/>
      <w:kern w:val="0"/>
      <w:szCs w:val="24"/>
    </w:rPr>
  </w:style>
  <w:style w:type="character" w:customStyle="1" w:styleId="36">
    <w:name w:val="批注框文本 Char"/>
    <w:basedOn w:val="23"/>
    <w:link w:val="13"/>
    <w:qFormat/>
    <w:uiPriority w:val="0"/>
    <w:rPr>
      <w:rFonts w:ascii="Calibri" w:hAnsi="Calibri" w:eastAsia="宋体"/>
      <w:kern w:val="2"/>
      <w:sz w:val="18"/>
      <w:szCs w:val="18"/>
    </w:rPr>
  </w:style>
  <w:style w:type="character" w:customStyle="1" w:styleId="37">
    <w:name w:val="纯文本 Char"/>
    <w:basedOn w:val="23"/>
    <w:link w:val="10"/>
    <w:qFormat/>
    <w:uiPriority w:val="0"/>
    <w:rPr>
      <w:rFonts w:ascii="宋体" w:hAnsi="Courier New" w:eastAsia="宋体"/>
      <w:kern w:val="2"/>
      <w:sz w:val="21"/>
      <w:szCs w:val="22"/>
    </w:rPr>
  </w:style>
  <w:style w:type="paragraph" w:customStyle="1" w:styleId="38">
    <w:name w:val="表格1"/>
    <w:basedOn w:val="1"/>
    <w:qFormat/>
    <w:uiPriority w:val="0"/>
    <w:pPr>
      <w:adjustRightInd w:val="0"/>
      <w:snapToGrid w:val="0"/>
      <w:spacing w:line="360" w:lineRule="auto"/>
      <w:ind w:firstLine="200" w:firstLineChars="200"/>
      <w:jc w:val="center"/>
      <w:textAlignment w:val="baseline"/>
    </w:pPr>
    <w:rPr>
      <w:rFonts w:ascii="Times New Roman" w:hAnsi="Times New Roman"/>
      <w:b/>
      <w:snapToGrid w:val="0"/>
      <w:kern w:val="0"/>
      <w:szCs w:val="20"/>
    </w:rPr>
  </w:style>
  <w:style w:type="character" w:customStyle="1" w:styleId="39">
    <w:name w:val="页脚 Char"/>
    <w:basedOn w:val="23"/>
    <w:link w:val="14"/>
    <w:qFormat/>
    <w:uiPriority w:val="99"/>
    <w:rPr>
      <w:rFonts w:ascii="Calibri" w:hAnsi="Calibri" w:eastAsia="宋体"/>
      <w:kern w:val="2"/>
      <w:sz w:val="18"/>
      <w:szCs w:val="22"/>
    </w:rPr>
  </w:style>
  <w:style w:type="paragraph" w:customStyle="1" w:styleId="40">
    <w:name w:val="char"/>
    <w:basedOn w:val="1"/>
    <w:qFormat/>
    <w:uiPriority w:val="0"/>
    <w:pPr>
      <w:widowControl/>
      <w:spacing w:after="160" w:line="240" w:lineRule="exact"/>
      <w:ind w:firstLine="420" w:firstLineChars="200"/>
      <w:jc w:val="left"/>
    </w:pPr>
    <w:rPr>
      <w:rFonts w:ascii="Verdana" w:hAnsi="Verdana" w:eastAsia="仿宋_GB2312" w:cs="”“Times New Roman”“"/>
      <w:kern w:val="0"/>
      <w:szCs w:val="20"/>
      <w:lang w:eastAsia="en-US"/>
    </w:rPr>
  </w:style>
  <w:style w:type="paragraph" w:customStyle="1" w:styleId="41">
    <w:name w:val="附录表标题"/>
    <w:next w:val="1"/>
    <w:qFormat/>
    <w:uiPriority w:val="0"/>
    <w:pPr>
      <w:numPr>
        <w:ilvl w:val="0"/>
        <w:numId w:val="1"/>
      </w:numPr>
      <w:jc w:val="center"/>
      <w:textAlignment w:val="baseline"/>
    </w:pPr>
    <w:rPr>
      <w:rFonts w:ascii="黑体" w:hAnsi="Times New Roman" w:eastAsia="黑体" w:cs="Times New Roman"/>
      <w:kern w:val="21"/>
      <w:sz w:val="21"/>
      <w:lang w:val="en-US" w:eastAsia="zh-CN" w:bidi="ar-SA"/>
    </w:rPr>
  </w:style>
  <w:style w:type="character" w:customStyle="1" w:styleId="42">
    <w:name w:val="正文杨 Char Char"/>
    <w:link w:val="43"/>
    <w:qFormat/>
    <w:uiPriority w:val="0"/>
    <w:rPr>
      <w:rFonts w:ascii="Times New Roman" w:hAnsi="Times New Roman" w:eastAsia="宋体"/>
      <w:kern w:val="2"/>
      <w:sz w:val="28"/>
      <w:szCs w:val="24"/>
    </w:rPr>
  </w:style>
  <w:style w:type="paragraph" w:customStyle="1" w:styleId="43">
    <w:name w:val="正文杨"/>
    <w:link w:val="42"/>
    <w:qFormat/>
    <w:uiPriority w:val="0"/>
    <w:pPr>
      <w:adjustRightInd w:val="0"/>
      <w:snapToGrid w:val="0"/>
      <w:spacing w:line="360" w:lineRule="auto"/>
      <w:ind w:firstLine="560" w:firstLineChars="200"/>
    </w:pPr>
    <w:rPr>
      <w:rFonts w:ascii="Times New Roman" w:hAnsi="Times New Roman" w:eastAsia="等线" w:cs="Times New Roman"/>
      <w:sz w:val="28"/>
      <w:szCs w:val="24"/>
      <w:lang w:val="en-US" w:eastAsia="zh-CN" w:bidi="ar-SA"/>
    </w:rPr>
  </w:style>
  <w:style w:type="character" w:customStyle="1" w:styleId="44">
    <w:name w:val="正文文本缩进 Char"/>
    <w:basedOn w:val="23"/>
    <w:link w:val="8"/>
    <w:qFormat/>
    <w:uiPriority w:val="0"/>
    <w:rPr>
      <w:rFonts w:ascii="Calibri" w:hAnsi="Calibri" w:eastAsia="宋体"/>
      <w:kern w:val="2"/>
      <w:sz w:val="24"/>
      <w:szCs w:val="22"/>
    </w:rPr>
  </w:style>
  <w:style w:type="character" w:customStyle="1" w:styleId="45">
    <w:name w:val="日期 Char"/>
    <w:basedOn w:val="23"/>
    <w:link w:val="12"/>
    <w:qFormat/>
    <w:uiPriority w:val="0"/>
    <w:rPr>
      <w:rFonts w:ascii="Calibri" w:hAnsi="Calibri" w:eastAsia="宋体"/>
      <w:kern w:val="2"/>
      <w:sz w:val="24"/>
      <w:szCs w:val="22"/>
    </w:rPr>
  </w:style>
  <w:style w:type="paragraph" w:customStyle="1" w:styleId="46">
    <w:name w:val="报告表格"/>
    <w:qFormat/>
    <w:uiPriority w:val="0"/>
    <w:pPr>
      <w:autoSpaceDE w:val="0"/>
      <w:autoSpaceDN w:val="0"/>
      <w:adjustRightInd w:val="0"/>
      <w:jc w:val="center"/>
      <w:textAlignment w:val="baseline"/>
    </w:pPr>
    <w:rPr>
      <w:rFonts w:ascii="Times New Roman" w:hAnsi="Times New Roman" w:eastAsia="宋体" w:cs="Times New Roman"/>
      <w:sz w:val="21"/>
      <w:lang w:val="en-US" w:eastAsia="zh-CN" w:bidi="ar-SA"/>
    </w:rPr>
  </w:style>
  <w:style w:type="paragraph" w:customStyle="1" w:styleId="47">
    <w:name w:val="图表标题"/>
    <w:basedOn w:val="19"/>
    <w:qFormat/>
    <w:uiPriority w:val="0"/>
    <w:pPr>
      <w:adjustRightInd w:val="0"/>
      <w:snapToGrid w:val="0"/>
      <w:spacing w:line="480" w:lineRule="exact"/>
      <w:ind w:left="0" w:leftChars="0" w:firstLine="0" w:firstLineChars="0"/>
      <w:jc w:val="center"/>
    </w:pPr>
    <w:rPr>
      <w:rFonts w:ascii="黑体" w:hAnsi="黑体" w:eastAsia="黑体"/>
      <w:color w:val="000000"/>
      <w:sz w:val="21"/>
      <w:szCs w:val="21"/>
    </w:rPr>
  </w:style>
  <w:style w:type="paragraph" w:customStyle="1" w:styleId="48">
    <w:name w:val="6表内文字 居中"/>
    <w:basedOn w:val="1"/>
    <w:qFormat/>
    <w:uiPriority w:val="0"/>
    <w:pPr>
      <w:adjustRightInd w:val="0"/>
      <w:spacing w:line="240" w:lineRule="auto"/>
      <w:jc w:val="center"/>
      <w:textAlignment w:val="baseline"/>
    </w:pPr>
    <w:rPr>
      <w:rFonts w:ascii="宋体" w:hAnsi="Times New Roman"/>
      <w:snapToGrid w:val="0"/>
      <w:kern w:val="0"/>
      <w:sz w:val="21"/>
      <w:szCs w:val="24"/>
    </w:rPr>
  </w:style>
  <w:style w:type="character" w:customStyle="1" w:styleId="49">
    <w:name w:val="标题 3 Char"/>
    <w:basedOn w:val="23"/>
    <w:link w:val="5"/>
    <w:semiHidden/>
    <w:qFormat/>
    <w:uiPriority w:val="0"/>
    <w:rPr>
      <w:rFonts w:ascii="Calibri" w:hAnsi="Calibri" w:eastAsia="宋体"/>
      <w:b/>
      <w:bCs/>
      <w:kern w:val="2"/>
      <w:sz w:val="32"/>
      <w:szCs w:val="32"/>
    </w:rPr>
  </w:style>
  <w:style w:type="paragraph" w:customStyle="1" w:styleId="50">
    <w:name w:val="正文文本缩进 21"/>
    <w:basedOn w:val="1"/>
    <w:qFormat/>
    <w:uiPriority w:val="0"/>
    <w:pPr>
      <w:adjustRightInd w:val="0"/>
      <w:spacing w:line="360" w:lineRule="auto"/>
      <w:ind w:firstLine="510"/>
      <w:textAlignment w:val="baseline"/>
    </w:pPr>
    <w:rPr>
      <w:rFonts w:ascii="Times New Roman" w:hAnsi="Times New Roman"/>
      <w:sz w:val="28"/>
      <w:szCs w:val="20"/>
    </w:rPr>
  </w:style>
  <w:style w:type="character" w:customStyle="1" w:styleId="51">
    <w:name w:val="标题 2 Char"/>
    <w:link w:val="4"/>
    <w:qFormat/>
    <w:uiPriority w:val="0"/>
    <w:rPr>
      <w:rFonts w:ascii="Arial" w:hAnsi="Arial" w:eastAsia="黑体"/>
      <w:kern w:val="2"/>
      <w:sz w:val="30"/>
      <w:szCs w:val="22"/>
    </w:rPr>
  </w:style>
  <w:style w:type="paragraph" w:customStyle="1" w:styleId="52">
    <w:name w:val="表格"/>
    <w:basedOn w:val="1"/>
    <w:qFormat/>
    <w:uiPriority w:val="0"/>
    <w:pPr>
      <w:spacing w:line="240" w:lineRule="auto"/>
      <w:jc w:val="center"/>
    </w:pPr>
    <w:rPr>
      <w:rFonts w:ascii="Times New Roman" w:hAnsi="Times New Roman" w:cs="宋体"/>
      <w:sz w:val="21"/>
      <w:szCs w:val="20"/>
    </w:rPr>
  </w:style>
  <w:style w:type="character" w:customStyle="1" w:styleId="53">
    <w:name w:val="注释标题 Char"/>
    <w:basedOn w:val="23"/>
    <w:link w:val="6"/>
    <w:qFormat/>
    <w:uiPriority w:val="0"/>
    <w:rPr>
      <w:rFonts w:ascii="Times New Roman" w:hAnsi="Times New Roman" w:eastAsia="宋体"/>
      <w:kern w:val="2"/>
      <w:sz w:val="21"/>
      <w:szCs w:val="24"/>
    </w:rPr>
  </w:style>
  <w:style w:type="paragraph" w:customStyle="1" w:styleId="54">
    <w:name w:val="表格文字"/>
    <w:basedOn w:val="1"/>
    <w:next w:val="1"/>
    <w:link w:val="55"/>
    <w:qFormat/>
    <w:uiPriority w:val="0"/>
    <w:pPr>
      <w:adjustRightInd w:val="0"/>
      <w:snapToGrid w:val="0"/>
      <w:spacing w:line="240" w:lineRule="auto"/>
      <w:jc w:val="center"/>
    </w:pPr>
    <w:rPr>
      <w:rFonts w:ascii="Times New Roman" w:hAnsi="Times New Roman"/>
      <w:b/>
      <w:kern w:val="0"/>
      <w:szCs w:val="24"/>
    </w:rPr>
  </w:style>
  <w:style w:type="character" w:customStyle="1" w:styleId="55">
    <w:name w:val="表格文字 Char"/>
    <w:link w:val="54"/>
    <w:qFormat/>
    <w:uiPriority w:val="0"/>
    <w:rPr>
      <w:rFonts w:ascii="Times New Roman" w:hAnsi="Times New Roman" w:eastAsia="宋体"/>
      <w:b/>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9" Type="http://schemas.openxmlformats.org/officeDocument/2006/relationships/fontTable" Target="fontTable.xml"/><Relationship Id="rId28" Type="http://schemas.openxmlformats.org/officeDocument/2006/relationships/customXml" Target="../customXml/item2.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13.jpeg"/><Relationship Id="rId24" Type="http://schemas.openxmlformats.org/officeDocument/2006/relationships/image" Target="media/image12.jpeg"/><Relationship Id="rId23" Type="http://schemas.openxmlformats.org/officeDocument/2006/relationships/image" Target="media/image11.jpeg"/><Relationship Id="rId22" Type="http://schemas.openxmlformats.org/officeDocument/2006/relationships/image" Target="media/image10.jpeg"/><Relationship Id="rId21" Type="http://schemas.openxmlformats.org/officeDocument/2006/relationships/image" Target="media/image9.jpeg"/><Relationship Id="rId20" Type="http://schemas.openxmlformats.org/officeDocument/2006/relationships/image" Target="media/image8.jpeg"/><Relationship Id="rId2" Type="http://schemas.openxmlformats.org/officeDocument/2006/relationships/settings" Target="settings.xml"/><Relationship Id="rId19" Type="http://schemas.openxmlformats.org/officeDocument/2006/relationships/image" Target="media/image7.jpeg"/><Relationship Id="rId18" Type="http://schemas.openxmlformats.org/officeDocument/2006/relationships/image" Target="media/image6.png"/><Relationship Id="rId17" Type="http://schemas.openxmlformats.org/officeDocument/2006/relationships/image" Target="media/image5.jpeg"/><Relationship Id="rId16" Type="http://schemas.openxmlformats.org/officeDocument/2006/relationships/image" Target="media/image4.jpeg"/><Relationship Id="rId15" Type="http://schemas.openxmlformats.org/officeDocument/2006/relationships/image" Target="media/image3.jpeg"/><Relationship Id="rId14" Type="http://schemas.openxmlformats.org/officeDocument/2006/relationships/image" Target="media/image2.jpeg"/><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c\AppData\Roaming\Kingsoft\wps\addons\pool\win-i386\knewfileruby_1.0.0.12\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4098"/>
    <customShpInfo spid="_x0000_s4097"/>
    <customShpInfo spid="_x0000_s1070"/>
    <customShpInfo spid="_x0000_s1071"/>
    <customShpInfo spid="_x0000_s1072"/>
    <customShpInfo spid="_x0000_s1073"/>
    <customShpInfo spid="_x0000_s1074"/>
    <customShpInfo spid="_x0000_s1075"/>
    <customShpInfo spid="_x0000_s1076"/>
    <customShpInfo spid="_x0000_s1077"/>
    <customShpInfo spid="_x0000_s1078"/>
    <customShpInfo spid="_x0000_s1079"/>
    <customShpInfo spid="_x0000_s1080"/>
    <customShpInfo spid="_x0000_s1081"/>
    <customShpInfo spid="_x0000_s1082"/>
    <customShpInfo spid="_x0000_s1083"/>
    <customShpInfo spid="_x0000_s1084"/>
    <customShpInfo spid="_x0000_s1085"/>
    <customShpInfo spid="_x0000_s1086"/>
    <customShpInfo spid="_x0000_s1087"/>
    <customShpInfo spid="_x0000_s1088"/>
    <customShpInfo spid="_x0000_s1089"/>
    <customShpInfo spid="_x0000_s1090"/>
    <customShpInfo spid="_x0000_s1091"/>
    <customShpInfo spid="_x0000_s1092"/>
    <customShpInfo spid="_x0000_s1093"/>
    <customShpInfo spid="_x0000_s1094"/>
    <customShpInfo spid="_x0000_s1095"/>
    <customShpInfo spid="_x0000_s1096"/>
    <customShpInfo spid="_x0000_s1097"/>
    <customShpInfo spid="_x0000_s1098"/>
    <customShpInfo spid="_x0000_s1099"/>
    <customShpInfo spid="_x0000_s1100"/>
    <customShpInfo spid="_x0000_s1101"/>
    <customShpInfo spid="_x0000_s1102"/>
    <customShpInfo spid="_x0000_s1103"/>
    <customShpInfo spid="_x0000_s1104"/>
    <customShpInfo spid="_x0000_s1069"/>
    <customShpInfo spid="_x0000_s1063"/>
    <customShpInfo spid="_x0000_s1064"/>
    <customShpInfo spid="_x0000_s1062"/>
    <customShpInfo spid="_x0000_s1066"/>
    <customShpInfo spid="_x0000_s1067"/>
    <customShpInfo spid="_x0000_s1065"/>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104B356-5DA6-4E54-A53F-5ACEF4C88553}">
  <ds:schemaRefs/>
</ds:datastoreItem>
</file>

<file path=docProps/app.xml><?xml version="1.0" encoding="utf-8"?>
<Properties xmlns="http://schemas.openxmlformats.org/officeDocument/2006/extended-properties" xmlns:vt="http://schemas.openxmlformats.org/officeDocument/2006/docPropsVTypes">
  <Template>0</Template>
  <Pages>69</Pages>
  <Words>6130</Words>
  <Characters>34944</Characters>
  <Lines>291</Lines>
  <Paragraphs>81</Paragraphs>
  <TotalTime>17</TotalTime>
  <ScaleCrop>false</ScaleCrop>
  <LinksUpToDate>false</LinksUpToDate>
  <CharactersWithSpaces>40993</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2018-11-01T14:41:00Z</dcterms:created>
  <dc:creator>安西老爹</dc:creator>
  <cp:lastModifiedBy>ZP</cp:lastModifiedBy>
  <cp:lastPrinted>2021-05-15T10:07:00Z</cp:lastPrinted>
  <dcterms:modified xsi:type="dcterms:W3CDTF">2021-05-17T03:58:24Z</dcterms:modified>
  <cp:revision>84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CEFCF51717834F338B0079CD5D94F51E</vt:lpwstr>
  </property>
</Properties>
</file>